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Buyer Tools for Buy the Practice Not the Problems</w:t>
      </w:r>
    </w:p>
    <w:p>
      <w:pPr>
        <w:pStyle w:val="ToolReference"/>
      </w:pPr>
      <w:r>
        <w:t>Ryan Smith DDS | Working edition | September 17 2026</w:t>
      </w:r>
    </w:p>
    <w:p>
      <w:pPr>
        <w:pStyle w:val="ToolBody"/>
      </w:pPr>
      <w:r>
        <w:t>Sixteen worksheets for screening, evaluating, funding, closing, and operating a dental practice acquisition. These are editable Word forms and printable manual worksheets. They do not calculate automatically. Copy the relevant page for another practice, issue, payer, or week.</w:t>
      </w:r>
    </w:p>
    <w:p>
      <w:pPr>
        <w:pStyle w:val="ToolBody"/>
      </w:pPr>
      <w:r>
        <w:t>The same core tools appear in Appendix A of the manuscript. Complete them with the actual deal evidence and your advisers. Blank amounts are unresolved, not zero. Keep sensitive records in an appropriate secure location and use references here. Maple Street is fictional; its amounts are teaching assumptions, not lending terms, benchmarks, or tax estimates for your purchase.</w:t>
      </w:r>
    </w:p>
    <w:p>
      <w:pPr>
        <w:pStyle w:val="ToolBody"/>
      </w:pPr>
      <w:r>
        <w:t>1. Buyer thesis</w:t>
      </w:r>
    </w:p>
    <w:p>
      <w:pPr>
        <w:pStyle w:val="ToolBody"/>
      </w:pPr>
      <w:r>
        <w:t>2. Household and schedule agreement</w:t>
      </w:r>
    </w:p>
    <w:p>
      <w:pPr>
        <w:pStyle w:val="ToolBody"/>
      </w:pPr>
      <w:r>
        <w:t>3. Financial readiness</w:t>
      </w:r>
    </w:p>
    <w:p>
      <w:pPr>
        <w:pStyle w:val="ToolBody"/>
      </w:pPr>
      <w:r>
        <w:t>4. Adviser responsibilities</w:t>
      </w:r>
    </w:p>
    <w:p>
      <w:pPr>
        <w:pStyle w:val="ToolBody"/>
      </w:pPr>
      <w:r>
        <w:t>5. Search and deal screen</w:t>
      </w:r>
    </w:p>
    <w:p>
      <w:pPr>
        <w:pStyle w:val="ToolBody"/>
      </w:pPr>
      <w:r>
        <w:t>6. Revenue evidence and transfer</w:t>
      </w:r>
    </w:p>
    <w:p>
      <w:pPr>
        <w:pStyle w:val="ToolBody"/>
      </w:pPr>
      <w:r>
        <w:t>7. Buyer operating model</w:t>
      </w:r>
    </w:p>
    <w:p>
      <w:pPr>
        <w:pStyle w:val="ToolBody"/>
      </w:pPr>
      <w:r>
        <w:t>8. Operating evidence and downside</w:t>
      </w:r>
    </w:p>
    <w:p>
      <w:pPr>
        <w:pStyle w:val="ToolBody"/>
      </w:pPr>
      <w:r>
        <w:t>9. Sources and uses</w:t>
      </w:r>
    </w:p>
    <w:p>
      <w:pPr>
        <w:pStyle w:val="ToolBody"/>
      </w:pPr>
      <w:r>
        <w:t>10. Thirteen week cash forecast</w:t>
      </w:r>
    </w:p>
    <w:p>
      <w:pPr>
        <w:pStyle w:val="ToolBody"/>
      </w:pPr>
      <w:r>
        <w:t>11. Practice visit and clinical transfer</w:t>
      </w:r>
    </w:p>
    <w:p>
      <w:pPr>
        <w:pStyle w:val="ToolBody"/>
      </w:pPr>
      <w:r>
        <w:t>12. Offer and loan comparison</w:t>
      </w:r>
    </w:p>
    <w:p>
      <w:pPr>
        <w:pStyle w:val="ToolBody"/>
      </w:pPr>
      <w:r>
        <w:t>13. Diligence issue record</w:t>
      </w:r>
    </w:p>
    <w:p>
      <w:pPr>
        <w:pStyle w:val="ToolBody"/>
      </w:pPr>
      <w:r>
        <w:t>14. Payer handoff record</w:t>
      </w:r>
    </w:p>
    <w:p>
      <w:pPr>
        <w:pStyle w:val="ToolBody"/>
      </w:pPr>
      <w:r>
        <w:t>15. Closing countdown and operating test</w:t>
      </w:r>
    </w:p>
    <w:p>
      <w:pPr>
        <w:pStyle w:val="ToolBody"/>
      </w:pPr>
      <w:r>
        <w:t>16. First hundred days and weekly review</w:t>
      </w:r>
    </w:p>
    <w:p>
      <w:pPr>
        <w:pStyle w:val="ToolTitle"/>
        <w:pageBreakBefore/>
      </w:pPr>
      <w:r>
        <w:t>Tool 1 Buyer thesis</w:t>
      </w:r>
    </w:p>
    <w:p>
      <w:pPr>
        <w:pStyle w:val="ToolReference"/>
      </w:pPr>
      <w:r>
        <w:t>Chapters 1 and 2</w:t>
      </w:r>
    </w:p>
    <w:p>
      <w:pPr>
        <w:pStyle w:val="ToolBody"/>
      </w:pPr>
      <w:r>
        <w:t>Complete this before reviewing listings. Keep the full version private; send only the relevant buying statement to brokers. Revisit a requirement deliberately when evidence changes.</w:t>
      </w:r>
    </w:p>
    <w:p>
      <w:pPr>
        <w:pStyle w:val="ToolHeading"/>
      </w:pPr>
      <w:r>
        <w:t>The ownership decision</w:t>
      </w:r>
    </w:p>
    <w:p>
      <w:pPr>
        <w:pStyle w:val="ToolField"/>
      </w:pPr>
      <w:r>
        <w:rPr>
          <w:b/>
        </w:rPr>
        <w:t>I want to own because</w:t>
        <w:br/>
      </w:r>
      <w:r>
        <w:t>__________________________________________________________________</w:t>
      </w:r>
    </w:p>
    <w:p>
      <w:pPr>
        <w:pStyle w:val="ToolField"/>
      </w:pPr>
      <w:r>
        <w:rPr>
          <w:b/>
        </w:rPr>
        <w:t>A better associate job would or would not meet that goal because</w:t>
        <w:br/>
      </w:r>
      <w:r>
        <w:t>__________________________________________________________________</w:t>
      </w:r>
    </w:p>
    <w:p>
      <w:pPr>
        <w:pStyle w:val="ToolHeading"/>
      </w:pPr>
      <w:r>
        <w:t>The practice I can operate</w:t>
      </w:r>
    </w:p>
    <w:p>
      <w:pPr>
        <w:pStyle w:val="ToolField"/>
      </w:pPr>
      <w:r>
        <w:rPr>
          <w:b/>
        </w:rPr>
        <w:t>Target market and maximum actual commute</w:t>
        <w:br/>
      </w:r>
      <w:r>
        <w:t>__________________________________________________________________</w:t>
      </w:r>
    </w:p>
    <w:p>
      <w:pPr>
        <w:pStyle w:val="ToolField"/>
      </w:pPr>
      <w:r>
        <w:rPr>
          <w:b/>
        </w:rPr>
        <w:t>Clinical days and ownership hours each week</w:t>
        <w:br/>
      </w:r>
      <w:r>
        <w:t>__________________________________________________________________</w:t>
      </w:r>
    </w:p>
    <w:p>
      <w:pPr>
        <w:pStyle w:val="ToolField"/>
      </w:pPr>
      <w:r>
        <w:rPr>
          <w:b/>
        </w:rPr>
        <w:t>Dentistry I can continue immediately and dentistry I will not assume transfers</w:t>
        <w:br/>
      </w:r>
      <w:r>
        <w:t>__________________________________________________________________</w:t>
      </w:r>
    </w:p>
    <w:p>
      <w:pPr>
        <w:pStyle w:val="ToolField"/>
      </w:pPr>
      <w:r>
        <w:rPr>
          <w:b/>
        </w:rPr>
        <w:t>Required household income and business obligations with calculation reference</w:t>
        <w:br/>
      </w:r>
      <w:r>
        <w:t>__________________________________________________________________</w:t>
      </w:r>
    </w:p>
    <w:p>
      <w:pPr>
        <w:pStyle w:val="ToolHeading"/>
      </w:pPr>
      <w:r>
        <w:t>My limits</w:t>
      </w:r>
    </w:p>
    <w:p>
      <w:pPr>
        <w:pStyle w:val="ToolField"/>
      </w:pPr>
      <w:r>
        <w:rPr>
          <w:b/>
        </w:rPr>
        <w:t>Three requirements that must be met</w:t>
        <w:br/>
      </w:r>
      <w:r>
        <w:t>__________________________________________________________________</w:t>
      </w:r>
    </w:p>
    <w:p>
      <w:pPr>
        <w:pStyle w:val="ToolField"/>
      </w:pPr>
      <w:r>
        <w:rPr>
          <w:b/>
        </w:rPr>
        <w:t>Three reasons I would reject a purchase</w:t>
        <w:br/>
      </w:r>
      <w:r>
        <w:t>__________________________________________________________________</w:t>
      </w:r>
    </w:p>
    <w:p>
      <w:pPr>
        <w:pStyle w:val="ToolField"/>
      </w:pPr>
      <w:r>
        <w:rPr>
          <w:b/>
        </w:rPr>
        <w:t>Changes I can lead with available time and cash</w:t>
        <w:br/>
      </w:r>
      <w:r>
        <w:t>__________________________________________________________________</w:t>
      </w:r>
    </w:p>
    <w:p>
      <w:pPr>
        <w:pStyle w:val="ToolField"/>
      </w:pPr>
      <w:r>
        <w:rPr>
          <w:b/>
        </w:rPr>
        <w:t>Buying statement in two sentences</w:t>
        <w:br/>
      </w:r>
      <w:r>
        <w:t>__________________________________________________________________</w:t>
      </w:r>
    </w:p>
    <w:p>
      <w:pPr>
        <w:pStyle w:val="ToolField"/>
      </w:pPr>
      <w:r>
        <w:rPr>
          <w:b/>
        </w:rPr>
        <w:t>Date and reason for any later revision</w:t>
        <w:br/>
      </w:r>
      <w:r>
        <w:t>__________________________________________________________________</w:t>
      </w:r>
    </w:p>
    <w:p>
      <w:pPr>
        <w:pStyle w:val="ToolBody"/>
      </w:pPr>
      <w:r>
        <w:t>Decision: prepare to buy / investigate another path / wait. Record the next action and review date. A blank income requirement or clinical limit remains unresolved; it does not mean unlimited flexibility.</w:t>
      </w:r>
    </w:p>
    <w:p>
      <w:pPr>
        <w:pStyle w:val="ToolTitle"/>
        <w:pageBreakBefore/>
      </w:pPr>
      <w:r>
        <w:t>Tool 2 Household and schedule agreement</w:t>
      </w:r>
    </w:p>
    <w:p>
      <w:pPr>
        <w:pStyle w:val="ToolReference"/>
      </w:pPr>
      <w:r>
        <w:t>Chapter 3</w:t>
      </w:r>
    </w:p>
    <w:p>
      <w:pPr>
        <w:pStyle w:val="ToolBody"/>
      </w:pPr>
      <w:r>
        <w:t>Complete together with anyone whose work, time, or finances the purchase depends on. Compare the first month with a sustainable ordinary week.</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328"/>
        <w:gridCol w:w="1872"/>
        <w:gridCol w:w="1872"/>
      </w:tblGrid>
      <w:tr>
        <w:trPr>
          <w:cantSplit/>
          <w:tblHeader/>
        </w:trPr>
        <w:tc>
          <w:tcPr>
            <w:tcW w:type="dxa" w:w="5328"/>
            <w:vAlign w:val="center"/>
            <w:tcMar>
              <w:top w:w="65" w:type="dxa"/>
              <w:bottom w:w="65" w:type="dxa"/>
              <w:left w:w="90" w:type="dxa"/>
              <w:right w:w="90" w:type="dxa"/>
            </w:tcMar>
            <w:shd w:fill="E5E7EB"/>
          </w:tcPr>
          <w:p>
            <w:pPr>
              <w:pStyle w:val="ToolTable"/>
            </w:pPr>
            <w:r>
              <w:rPr>
                <w:b/>
              </w:rPr>
              <w:t>Weekly commitment</w:t>
            </w:r>
          </w:p>
        </w:tc>
        <w:tc>
          <w:tcPr>
            <w:tcW w:type="dxa" w:w="1872"/>
            <w:vAlign w:val="center"/>
            <w:tcMar>
              <w:top w:w="65" w:type="dxa"/>
              <w:bottom w:w="65" w:type="dxa"/>
              <w:left w:w="90" w:type="dxa"/>
              <w:right w:w="90" w:type="dxa"/>
            </w:tcMar>
            <w:shd w:fill="E5E7EB"/>
          </w:tcPr>
          <w:p>
            <w:pPr>
              <w:pStyle w:val="ToolTable"/>
            </w:pPr>
            <w:r>
              <w:rPr>
                <w:b/>
              </w:rPr>
              <w:t>First month hours</w:t>
            </w:r>
          </w:p>
        </w:tc>
        <w:tc>
          <w:tcPr>
            <w:tcW w:type="dxa" w:w="1872"/>
            <w:vAlign w:val="center"/>
            <w:tcMar>
              <w:top w:w="65" w:type="dxa"/>
              <w:bottom w:w="65" w:type="dxa"/>
              <w:left w:w="90" w:type="dxa"/>
              <w:right w:w="90" w:type="dxa"/>
            </w:tcMar>
            <w:shd w:fill="E5E7EB"/>
          </w:tcPr>
          <w:p>
            <w:pPr>
              <w:pStyle w:val="ToolTable"/>
            </w:pPr>
            <w:r>
              <w:rPr>
                <w:b/>
              </w:rPr>
              <w:t>Ongoing hours</w:t>
            </w:r>
          </w:p>
        </w:tc>
      </w:tr>
      <w:tr>
        <w:trPr>
          <w:cantSplit/>
        </w:trPr>
        <w:tc>
          <w:tcPr>
            <w:tcW w:type="dxa" w:w="5328"/>
            <w:vAlign w:val="center"/>
            <w:tcMar>
              <w:top w:w="65" w:type="dxa"/>
              <w:bottom w:w="65" w:type="dxa"/>
              <w:left w:w="90" w:type="dxa"/>
              <w:right w:w="90" w:type="dxa"/>
            </w:tcMar>
            <w:shd w:fill="FFFFFF"/>
          </w:tcPr>
          <w:p>
            <w:pPr>
              <w:pStyle w:val="ToolTable"/>
            </w:pPr>
            <w:r>
              <w:t>Clinical work</w:t>
            </w:r>
          </w:p>
        </w:tc>
        <w:tc>
          <w:tcPr>
            <w:tcW w:type="dxa" w:w="1872"/>
            <w:vAlign w:val="center"/>
            <w:tcMar>
              <w:top w:w="65" w:type="dxa"/>
              <w:bottom w:w="65" w:type="dxa"/>
              <w:left w:w="90" w:type="dxa"/>
              <w:right w:w="90" w:type="dxa"/>
            </w:tcMar>
            <w:shd w:fill="FFFFFF"/>
          </w:tcPr>
          <w:p>
            <w:pPr>
              <w:pStyle w:val="ToolTable"/>
            </w:pPr>
            <w:r/>
          </w:p>
        </w:tc>
        <w:tc>
          <w:tcPr>
            <w:tcW w:type="dxa" w:w="1872"/>
            <w:vAlign w:val="center"/>
            <w:tcMar>
              <w:top w:w="65" w:type="dxa"/>
              <w:bottom w:w="65" w:type="dxa"/>
              <w:left w:w="90" w:type="dxa"/>
              <w:right w:w="90" w:type="dxa"/>
            </w:tcMar>
            <w:shd w:fill="FFFFFF"/>
          </w:tcPr>
          <w:p>
            <w:pPr>
              <w:pStyle w:val="ToolTable"/>
            </w:pPr>
            <w:r/>
          </w:p>
        </w:tc>
      </w:tr>
      <w:tr>
        <w:trPr>
          <w:cantSplit/>
        </w:trPr>
        <w:tc>
          <w:tcPr>
            <w:tcW w:type="dxa" w:w="5328"/>
            <w:vAlign w:val="center"/>
            <w:tcMar>
              <w:top w:w="65" w:type="dxa"/>
              <w:bottom w:w="65" w:type="dxa"/>
              <w:left w:w="90" w:type="dxa"/>
              <w:right w:w="90" w:type="dxa"/>
            </w:tcMar>
            <w:shd w:fill="FFFFFF"/>
          </w:tcPr>
          <w:p>
            <w:pPr>
              <w:pStyle w:val="ToolTable"/>
            </w:pPr>
            <w:r>
              <w:t>Owner administration</w:t>
            </w:r>
          </w:p>
        </w:tc>
        <w:tc>
          <w:tcPr>
            <w:tcW w:type="dxa" w:w="1872"/>
            <w:vAlign w:val="center"/>
            <w:tcMar>
              <w:top w:w="65" w:type="dxa"/>
              <w:bottom w:w="65" w:type="dxa"/>
              <w:left w:w="90" w:type="dxa"/>
              <w:right w:w="90" w:type="dxa"/>
            </w:tcMar>
            <w:shd w:fill="FFFFFF"/>
          </w:tcPr>
          <w:p>
            <w:pPr>
              <w:pStyle w:val="ToolTable"/>
            </w:pPr>
            <w:r/>
          </w:p>
        </w:tc>
        <w:tc>
          <w:tcPr>
            <w:tcW w:type="dxa" w:w="1872"/>
            <w:vAlign w:val="center"/>
            <w:tcMar>
              <w:top w:w="65" w:type="dxa"/>
              <w:bottom w:w="65" w:type="dxa"/>
              <w:left w:w="90" w:type="dxa"/>
              <w:right w:w="90" w:type="dxa"/>
            </w:tcMar>
            <w:shd w:fill="FFFFFF"/>
          </w:tcPr>
          <w:p>
            <w:pPr>
              <w:pStyle w:val="ToolTable"/>
            </w:pPr>
            <w:r/>
          </w:p>
        </w:tc>
      </w:tr>
      <w:tr>
        <w:trPr>
          <w:cantSplit/>
        </w:trPr>
        <w:tc>
          <w:tcPr>
            <w:tcW w:type="dxa" w:w="5328"/>
            <w:vAlign w:val="center"/>
            <w:tcMar>
              <w:top w:w="65" w:type="dxa"/>
              <w:bottom w:w="65" w:type="dxa"/>
              <w:left w:w="90" w:type="dxa"/>
              <w:right w:w="90" w:type="dxa"/>
            </w:tcMar>
            <w:shd w:fill="FFFFFF"/>
          </w:tcPr>
          <w:p>
            <w:pPr>
              <w:pStyle w:val="ToolTable"/>
            </w:pPr>
            <w:r>
              <w:t>Commuting</w:t>
            </w:r>
          </w:p>
        </w:tc>
        <w:tc>
          <w:tcPr>
            <w:tcW w:type="dxa" w:w="1872"/>
            <w:vAlign w:val="center"/>
            <w:tcMar>
              <w:top w:w="65" w:type="dxa"/>
              <w:bottom w:w="65" w:type="dxa"/>
              <w:left w:w="90" w:type="dxa"/>
              <w:right w:w="90" w:type="dxa"/>
            </w:tcMar>
            <w:shd w:fill="FFFFFF"/>
          </w:tcPr>
          <w:p>
            <w:pPr>
              <w:pStyle w:val="ToolTable"/>
            </w:pPr>
            <w:r/>
          </w:p>
        </w:tc>
        <w:tc>
          <w:tcPr>
            <w:tcW w:type="dxa" w:w="1872"/>
            <w:vAlign w:val="center"/>
            <w:tcMar>
              <w:top w:w="65" w:type="dxa"/>
              <w:bottom w:w="65" w:type="dxa"/>
              <w:left w:w="90" w:type="dxa"/>
              <w:right w:w="90" w:type="dxa"/>
            </w:tcMar>
            <w:shd w:fill="FFFFFF"/>
          </w:tcPr>
          <w:p>
            <w:pPr>
              <w:pStyle w:val="ToolTable"/>
            </w:pPr>
            <w:r/>
          </w:p>
        </w:tc>
      </w:tr>
      <w:tr>
        <w:trPr>
          <w:cantSplit/>
        </w:trPr>
        <w:tc>
          <w:tcPr>
            <w:tcW w:type="dxa" w:w="5328"/>
            <w:vAlign w:val="center"/>
            <w:tcMar>
              <w:top w:w="65" w:type="dxa"/>
              <w:bottom w:w="65" w:type="dxa"/>
              <w:left w:w="90" w:type="dxa"/>
              <w:right w:w="90" w:type="dxa"/>
            </w:tcMar>
            <w:shd w:fill="FFFFFF"/>
          </w:tcPr>
          <w:p>
            <w:pPr>
              <w:pStyle w:val="ToolTable"/>
            </w:pPr>
            <w:r>
              <w:t>Household and care work</w:t>
            </w:r>
          </w:p>
        </w:tc>
        <w:tc>
          <w:tcPr>
            <w:tcW w:type="dxa" w:w="1872"/>
            <w:vAlign w:val="center"/>
            <w:tcMar>
              <w:top w:w="65" w:type="dxa"/>
              <w:bottom w:w="65" w:type="dxa"/>
              <w:left w:w="90" w:type="dxa"/>
              <w:right w:w="90" w:type="dxa"/>
            </w:tcMar>
            <w:shd w:fill="FFFFFF"/>
          </w:tcPr>
          <w:p>
            <w:pPr>
              <w:pStyle w:val="ToolTable"/>
            </w:pPr>
            <w:r/>
          </w:p>
        </w:tc>
        <w:tc>
          <w:tcPr>
            <w:tcW w:type="dxa" w:w="1872"/>
            <w:vAlign w:val="center"/>
            <w:tcMar>
              <w:top w:w="65" w:type="dxa"/>
              <w:bottom w:w="65" w:type="dxa"/>
              <w:left w:w="90" w:type="dxa"/>
              <w:right w:w="90" w:type="dxa"/>
            </w:tcMar>
            <w:shd w:fill="FFFFFF"/>
          </w:tcPr>
          <w:p>
            <w:pPr>
              <w:pStyle w:val="ToolTable"/>
            </w:pPr>
            <w:r/>
          </w:p>
        </w:tc>
      </w:tr>
      <w:tr>
        <w:trPr>
          <w:cantSplit/>
        </w:trPr>
        <w:tc>
          <w:tcPr>
            <w:tcW w:type="dxa" w:w="5328"/>
            <w:vAlign w:val="center"/>
            <w:tcMar>
              <w:top w:w="65" w:type="dxa"/>
              <w:bottom w:w="65" w:type="dxa"/>
              <w:left w:w="90" w:type="dxa"/>
              <w:right w:w="90" w:type="dxa"/>
            </w:tcMar>
            <w:shd w:fill="FFFFFF"/>
          </w:tcPr>
          <w:p>
            <w:pPr>
              <w:pStyle w:val="ToolTable"/>
            </w:pPr>
            <w:r>
              <w:t>Protected personal time</w:t>
            </w:r>
          </w:p>
        </w:tc>
        <w:tc>
          <w:tcPr>
            <w:tcW w:type="dxa" w:w="1872"/>
            <w:vAlign w:val="center"/>
            <w:tcMar>
              <w:top w:w="65" w:type="dxa"/>
              <w:bottom w:w="65" w:type="dxa"/>
              <w:left w:w="90" w:type="dxa"/>
              <w:right w:w="90" w:type="dxa"/>
            </w:tcMar>
            <w:shd w:fill="FFFFFF"/>
          </w:tcPr>
          <w:p>
            <w:pPr>
              <w:pStyle w:val="ToolTable"/>
            </w:pPr>
            <w:r/>
          </w:p>
        </w:tc>
        <w:tc>
          <w:tcPr>
            <w:tcW w:type="dxa" w:w="1872"/>
            <w:vAlign w:val="center"/>
            <w:tcMar>
              <w:top w:w="65" w:type="dxa"/>
              <w:bottom w:w="65" w:type="dxa"/>
              <w:left w:w="90" w:type="dxa"/>
              <w:right w:w="90" w:type="dxa"/>
            </w:tcMar>
            <w:shd w:fill="FFFFFF"/>
          </w:tcPr>
          <w:p>
            <w:pPr>
              <w:pStyle w:val="ToolTable"/>
            </w:pPr>
            <w:r/>
          </w:p>
        </w:tc>
      </w:tr>
      <w:tr>
        <w:trPr>
          <w:cantSplit/>
        </w:trPr>
        <w:tc>
          <w:tcPr>
            <w:tcW w:type="dxa" w:w="5328"/>
            <w:vAlign w:val="center"/>
            <w:tcMar>
              <w:top w:w="65" w:type="dxa"/>
              <w:bottom w:w="65" w:type="dxa"/>
              <w:left w:w="90" w:type="dxa"/>
              <w:right w:w="90" w:type="dxa"/>
            </w:tcMar>
            <w:shd w:fill="FFFFFF"/>
          </w:tcPr>
          <w:p>
            <w:pPr>
              <w:pStyle w:val="ToolTable"/>
            </w:pPr>
            <w:r>
              <w:t>Sleep and other commitments</w:t>
            </w:r>
          </w:p>
        </w:tc>
        <w:tc>
          <w:tcPr>
            <w:tcW w:type="dxa" w:w="1872"/>
            <w:vAlign w:val="center"/>
            <w:tcMar>
              <w:top w:w="65" w:type="dxa"/>
              <w:bottom w:w="65" w:type="dxa"/>
              <w:left w:w="90" w:type="dxa"/>
              <w:right w:w="90" w:type="dxa"/>
            </w:tcMar>
            <w:shd w:fill="FFFFFF"/>
          </w:tcPr>
          <w:p>
            <w:pPr>
              <w:pStyle w:val="ToolTable"/>
            </w:pPr>
            <w:r/>
          </w:p>
        </w:tc>
        <w:tc>
          <w:tcPr>
            <w:tcW w:type="dxa" w:w="1872"/>
            <w:vAlign w:val="center"/>
            <w:tcMar>
              <w:top w:w="65" w:type="dxa"/>
              <w:bottom w:w="65" w:type="dxa"/>
              <w:left w:w="90" w:type="dxa"/>
              <w:right w:w="90" w:type="dxa"/>
            </w:tcMar>
            <w:shd w:fill="FFFFFF"/>
          </w:tcPr>
          <w:p>
            <w:pPr>
              <w:pStyle w:val="ToolTable"/>
            </w:pPr>
            <w:r/>
          </w:p>
        </w:tc>
      </w:tr>
    </w:tbl>
    <w:p>
      <w:pPr>
        <w:pStyle w:val="ToolBody"/>
        <w:spacing w:after="20"/>
      </w:pPr>
    </w:p>
    <w:p>
      <w:pPr>
        <w:pStyle w:val="ToolField"/>
      </w:pPr>
      <w:r>
        <w:rPr>
          <w:b/>
        </w:rPr>
        <w:t>Responsibilities that need new coverage and who has agreed to provide it</w:t>
        <w:br/>
      </w:r>
      <w:r>
        <w:t>__________________________________________________________________</w:t>
      </w:r>
    </w:p>
    <w:p>
      <w:pPr>
        <w:pStyle w:val="ToolField"/>
      </w:pPr>
      <w:r>
        <w:rPr>
          <w:b/>
        </w:rPr>
        <w:t>Cost of additional childcare or other help and where it is funded</w:t>
        <w:br/>
      </w:r>
      <w:r>
        <w:t>__________________________________________________________________</w:t>
      </w:r>
    </w:p>
    <w:p>
      <w:pPr>
        <w:pStyle w:val="ToolField"/>
      </w:pPr>
      <w:r>
        <w:rPr>
          <w:b/>
        </w:rPr>
        <w:t>Known events or expenses in the next twenty-four months</w:t>
        <w:br/>
      </w:r>
      <w:r>
        <w:t>__________________________________________________________________</w:t>
      </w:r>
    </w:p>
    <w:p>
      <w:pPr>
        <w:pStyle w:val="ToolField"/>
      </w:pPr>
      <w:r>
        <w:rPr>
          <w:b/>
        </w:rPr>
        <w:t>Sacrifice we are willing to make and the date it should end</w:t>
        <w:br/>
      </w:r>
      <w:r>
        <w:t>__________________________________________________________________</w:t>
      </w:r>
    </w:p>
    <w:p>
      <w:pPr>
        <w:pStyle w:val="ToolField"/>
      </w:pPr>
      <w:r>
        <w:rPr>
          <w:b/>
        </w:rPr>
        <w:t>What would trigger a change in the practice plan</w:t>
        <w:br/>
      </w:r>
      <w:r>
        <w:t>__________________________________________________________________</w:t>
      </w:r>
    </w:p>
    <w:p>
      <w:pPr>
        <w:pStyle w:val="ToolField"/>
      </w:pPr>
      <w:r>
        <w:rPr>
          <w:b/>
        </w:rPr>
        <w:t>Next household review date</w:t>
        <w:br/>
      </w:r>
      <w:r>
        <w:t>__________________________________________________________________</w:t>
      </w:r>
    </w:p>
    <w:p>
      <w:pPr>
        <w:pStyle w:val="ToolBody"/>
      </w:pPr>
      <w:r>
        <w:t>Check the full week totals against the 168 hours available. Include existing commitments before assuming evenings are free. Agreement today is permission to test a plan, not proof that the arrangement will remain workable.</w:t>
      </w:r>
    </w:p>
    <w:p>
      <w:pPr>
        <w:pStyle w:val="ToolTitle"/>
        <w:pageBreakBefore/>
      </w:pPr>
      <w:r>
        <w:t>Tool 3 Financial readiness</w:t>
      </w:r>
    </w:p>
    <w:p>
      <w:pPr>
        <w:pStyle w:val="ToolReference"/>
      </w:pPr>
      <w:r>
        <w:t>Chapter 4</w:t>
      </w:r>
    </w:p>
    <w:p>
      <w:pPr>
        <w:pStyle w:val="ToolBody"/>
      </w:pPr>
      <w:r>
        <w:t>Use actual balances and obligations. Keep household funds separate from transaction funding and practice operating cash.</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08"/>
        <w:gridCol w:w="1584"/>
        <w:gridCol w:w="2880"/>
      </w:tblGrid>
      <w:tr>
        <w:trPr>
          <w:cantSplit/>
          <w:tblHeader/>
        </w:trPr>
        <w:tc>
          <w:tcPr>
            <w:tcW w:type="dxa" w:w="4608"/>
            <w:vAlign w:val="center"/>
            <w:tcMar>
              <w:top w:w="65" w:type="dxa"/>
              <w:bottom w:w="65" w:type="dxa"/>
              <w:left w:w="90" w:type="dxa"/>
              <w:right w:w="90" w:type="dxa"/>
            </w:tcMar>
            <w:shd w:fill="E5E7EB"/>
          </w:tcPr>
          <w:p>
            <w:pPr>
              <w:pStyle w:val="ToolTable"/>
            </w:pPr>
            <w:r>
              <w:rPr>
                <w:b/>
              </w:rPr>
              <w:t>Cash or obligation</w:t>
            </w:r>
          </w:p>
        </w:tc>
        <w:tc>
          <w:tcPr>
            <w:tcW w:type="dxa" w:w="1584"/>
            <w:vAlign w:val="center"/>
            <w:tcMar>
              <w:top w:w="65" w:type="dxa"/>
              <w:bottom w:w="65" w:type="dxa"/>
              <w:left w:w="90" w:type="dxa"/>
              <w:right w:w="90" w:type="dxa"/>
            </w:tcMar>
            <w:shd w:fill="E5E7EB"/>
          </w:tcPr>
          <w:p>
            <w:pPr>
              <w:pStyle w:val="ToolTable"/>
            </w:pPr>
            <w:r>
              <w:rPr>
                <w:b/>
              </w:rPr>
              <w:t>Amount</w:t>
            </w:r>
          </w:p>
        </w:tc>
        <w:tc>
          <w:tcPr>
            <w:tcW w:type="dxa" w:w="2880"/>
            <w:vAlign w:val="center"/>
            <w:tcMar>
              <w:top w:w="65" w:type="dxa"/>
              <w:bottom w:w="65" w:type="dxa"/>
              <w:left w:w="90" w:type="dxa"/>
              <w:right w:w="90" w:type="dxa"/>
            </w:tcMar>
            <w:shd w:fill="E5E7EB"/>
          </w:tcPr>
          <w:p>
            <w:pPr>
              <w:pStyle w:val="ToolTable"/>
            </w:pPr>
            <w:r>
              <w:rPr>
                <w:b/>
              </w:rPr>
              <w:t>Evidence and date</w:t>
            </w:r>
          </w:p>
        </w:tc>
      </w:tr>
      <w:tr>
        <w:trPr>
          <w:cantSplit/>
        </w:trPr>
        <w:tc>
          <w:tcPr>
            <w:tcW w:type="dxa" w:w="4608"/>
            <w:vAlign w:val="center"/>
            <w:tcMar>
              <w:top w:w="65" w:type="dxa"/>
              <w:bottom w:w="65" w:type="dxa"/>
              <w:left w:w="90" w:type="dxa"/>
              <w:right w:w="90" w:type="dxa"/>
            </w:tcMar>
            <w:shd w:fill="FFFFFF"/>
          </w:tcPr>
          <w:p>
            <w:pPr>
              <w:pStyle w:val="ToolTable"/>
            </w:pPr>
            <w:r>
              <w:t>Accessible personal cash</w:t>
            </w:r>
          </w:p>
        </w:tc>
        <w:tc>
          <w:tcPr>
            <w:tcW w:type="dxa" w:w="1584"/>
            <w:vAlign w:val="center"/>
            <w:tcMar>
              <w:top w:w="65" w:type="dxa"/>
              <w:bottom w:w="65" w:type="dxa"/>
              <w:left w:w="90" w:type="dxa"/>
              <w:right w:w="90" w:type="dxa"/>
            </w:tcMar>
            <w:shd w:fill="FFFFFF"/>
          </w:tcPr>
          <w:p>
            <w:pPr>
              <w:pStyle w:val="ToolTable"/>
            </w:pPr>
            <w:r/>
          </w:p>
        </w:tc>
        <w:tc>
          <w:tcPr>
            <w:tcW w:type="dxa" w:w="2880"/>
            <w:vAlign w:val="center"/>
            <w:tcMar>
              <w:top w:w="65" w:type="dxa"/>
              <w:bottom w:w="65" w:type="dxa"/>
              <w:left w:w="90" w:type="dxa"/>
              <w:right w:w="90" w:type="dxa"/>
            </w:tcMar>
            <w:shd w:fill="FFFFFF"/>
          </w:tcPr>
          <w:p>
            <w:pPr>
              <w:pStyle w:val="ToolTable"/>
            </w:pPr>
            <w:r/>
          </w:p>
        </w:tc>
      </w:tr>
      <w:tr>
        <w:trPr>
          <w:cantSplit/>
        </w:trPr>
        <w:tc>
          <w:tcPr>
            <w:tcW w:type="dxa" w:w="4608"/>
            <w:vAlign w:val="center"/>
            <w:tcMar>
              <w:top w:w="65" w:type="dxa"/>
              <w:bottom w:w="65" w:type="dxa"/>
              <w:left w:w="90" w:type="dxa"/>
              <w:right w:w="90" w:type="dxa"/>
            </w:tcMar>
            <w:shd w:fill="FFFFFF"/>
          </w:tcPr>
          <w:p>
            <w:pPr>
              <w:pStyle w:val="ToolTable"/>
            </w:pPr>
            <w:r>
              <w:t>Household reserve retained</w:t>
            </w:r>
          </w:p>
        </w:tc>
        <w:tc>
          <w:tcPr>
            <w:tcW w:type="dxa" w:w="1584"/>
            <w:vAlign w:val="center"/>
            <w:tcMar>
              <w:top w:w="65" w:type="dxa"/>
              <w:bottom w:w="65" w:type="dxa"/>
              <w:left w:w="90" w:type="dxa"/>
              <w:right w:w="90" w:type="dxa"/>
            </w:tcMar>
            <w:shd w:fill="FFFFFF"/>
          </w:tcPr>
          <w:p>
            <w:pPr>
              <w:pStyle w:val="ToolTable"/>
            </w:pPr>
            <w:r/>
          </w:p>
        </w:tc>
        <w:tc>
          <w:tcPr>
            <w:tcW w:type="dxa" w:w="2880"/>
            <w:vAlign w:val="center"/>
            <w:tcMar>
              <w:top w:w="65" w:type="dxa"/>
              <w:bottom w:w="65" w:type="dxa"/>
              <w:left w:w="90" w:type="dxa"/>
              <w:right w:w="90" w:type="dxa"/>
            </w:tcMar>
            <w:shd w:fill="FFFFFF"/>
          </w:tcPr>
          <w:p>
            <w:pPr>
              <w:pStyle w:val="ToolTable"/>
            </w:pPr>
            <w:r/>
          </w:p>
        </w:tc>
      </w:tr>
      <w:tr>
        <w:trPr>
          <w:cantSplit/>
        </w:trPr>
        <w:tc>
          <w:tcPr>
            <w:tcW w:type="dxa" w:w="4608"/>
            <w:vAlign w:val="center"/>
            <w:tcMar>
              <w:top w:w="65" w:type="dxa"/>
              <w:bottom w:w="65" w:type="dxa"/>
              <w:left w:w="90" w:type="dxa"/>
              <w:right w:w="90" w:type="dxa"/>
            </w:tcMar>
            <w:shd w:fill="FFFFFF"/>
          </w:tcPr>
          <w:p>
            <w:pPr>
              <w:pStyle w:val="ToolTable"/>
            </w:pPr>
            <w:r>
              <w:t>Known personal expenses before purchase</w:t>
            </w:r>
          </w:p>
        </w:tc>
        <w:tc>
          <w:tcPr>
            <w:tcW w:type="dxa" w:w="1584"/>
            <w:vAlign w:val="center"/>
            <w:tcMar>
              <w:top w:w="65" w:type="dxa"/>
              <w:bottom w:w="65" w:type="dxa"/>
              <w:left w:w="90" w:type="dxa"/>
              <w:right w:w="90" w:type="dxa"/>
            </w:tcMar>
            <w:shd w:fill="FFFFFF"/>
          </w:tcPr>
          <w:p>
            <w:pPr>
              <w:pStyle w:val="ToolTable"/>
            </w:pPr>
            <w:r/>
          </w:p>
        </w:tc>
        <w:tc>
          <w:tcPr>
            <w:tcW w:type="dxa" w:w="2880"/>
            <w:vAlign w:val="center"/>
            <w:tcMar>
              <w:top w:w="65" w:type="dxa"/>
              <w:bottom w:w="65" w:type="dxa"/>
              <w:left w:w="90" w:type="dxa"/>
              <w:right w:w="90" w:type="dxa"/>
            </w:tcMar>
            <w:shd w:fill="FFFFFF"/>
          </w:tcPr>
          <w:p>
            <w:pPr>
              <w:pStyle w:val="ToolTable"/>
            </w:pPr>
            <w:r/>
          </w:p>
        </w:tc>
      </w:tr>
      <w:tr>
        <w:trPr>
          <w:cantSplit/>
        </w:trPr>
        <w:tc>
          <w:tcPr>
            <w:tcW w:type="dxa" w:w="4608"/>
            <w:vAlign w:val="center"/>
            <w:tcMar>
              <w:top w:w="65" w:type="dxa"/>
              <w:bottom w:w="65" w:type="dxa"/>
              <w:left w:w="90" w:type="dxa"/>
              <w:right w:w="90" w:type="dxa"/>
            </w:tcMar>
            <w:shd w:fill="FFFFFF"/>
          </w:tcPr>
          <w:p>
            <w:pPr>
              <w:pStyle w:val="ToolTable"/>
            </w:pPr>
            <w:r>
              <w:t>Cash available for the transaction</w:t>
            </w:r>
          </w:p>
        </w:tc>
        <w:tc>
          <w:tcPr>
            <w:tcW w:type="dxa" w:w="1584"/>
            <w:vAlign w:val="center"/>
            <w:tcMar>
              <w:top w:w="65" w:type="dxa"/>
              <w:bottom w:w="65" w:type="dxa"/>
              <w:left w:w="90" w:type="dxa"/>
              <w:right w:w="90" w:type="dxa"/>
            </w:tcMar>
            <w:shd w:fill="FFFFFF"/>
          </w:tcPr>
          <w:p>
            <w:pPr>
              <w:pStyle w:val="ToolTable"/>
            </w:pPr>
            <w:r/>
          </w:p>
        </w:tc>
        <w:tc>
          <w:tcPr>
            <w:tcW w:type="dxa" w:w="2880"/>
            <w:vAlign w:val="center"/>
            <w:tcMar>
              <w:top w:w="65" w:type="dxa"/>
              <w:bottom w:w="65" w:type="dxa"/>
              <w:left w:w="90" w:type="dxa"/>
              <w:right w:w="90" w:type="dxa"/>
            </w:tcMar>
            <w:shd w:fill="FFFFFF"/>
          </w:tcPr>
          <w:p>
            <w:pPr>
              <w:pStyle w:val="ToolTable"/>
            </w:pPr>
            <w:r/>
          </w:p>
        </w:tc>
      </w:tr>
      <w:tr>
        <w:trPr>
          <w:cantSplit/>
        </w:trPr>
        <w:tc>
          <w:tcPr>
            <w:tcW w:type="dxa" w:w="4608"/>
            <w:vAlign w:val="center"/>
            <w:tcMar>
              <w:top w:w="65" w:type="dxa"/>
              <w:bottom w:w="65" w:type="dxa"/>
              <w:left w:w="90" w:type="dxa"/>
              <w:right w:w="90" w:type="dxa"/>
            </w:tcMar>
            <w:shd w:fill="FFFFFF"/>
          </w:tcPr>
          <w:p>
            <w:pPr>
              <w:pStyle w:val="ToolTable"/>
            </w:pPr>
            <w:r>
              <w:t>Monthly household outflow including debt</w:t>
            </w:r>
          </w:p>
        </w:tc>
        <w:tc>
          <w:tcPr>
            <w:tcW w:type="dxa" w:w="1584"/>
            <w:vAlign w:val="center"/>
            <w:tcMar>
              <w:top w:w="65" w:type="dxa"/>
              <w:bottom w:w="65" w:type="dxa"/>
              <w:left w:w="90" w:type="dxa"/>
              <w:right w:w="90" w:type="dxa"/>
            </w:tcMar>
            <w:shd w:fill="FFFFFF"/>
          </w:tcPr>
          <w:p>
            <w:pPr>
              <w:pStyle w:val="ToolTable"/>
            </w:pPr>
            <w:r/>
          </w:p>
        </w:tc>
        <w:tc>
          <w:tcPr>
            <w:tcW w:type="dxa" w:w="2880"/>
            <w:vAlign w:val="center"/>
            <w:tcMar>
              <w:top w:w="65" w:type="dxa"/>
              <w:bottom w:w="65" w:type="dxa"/>
              <w:left w:w="90" w:type="dxa"/>
              <w:right w:w="90" w:type="dxa"/>
            </w:tcMar>
            <w:shd w:fill="FFFFFF"/>
          </w:tcPr>
          <w:p>
            <w:pPr>
              <w:pStyle w:val="ToolTable"/>
            </w:pPr>
            <w:r/>
          </w:p>
        </w:tc>
      </w:tr>
      <w:tr>
        <w:trPr>
          <w:cantSplit/>
        </w:trPr>
        <w:tc>
          <w:tcPr>
            <w:tcW w:type="dxa" w:w="4608"/>
            <w:vAlign w:val="center"/>
            <w:tcMar>
              <w:top w:w="65" w:type="dxa"/>
              <w:bottom w:w="65" w:type="dxa"/>
              <w:left w:w="90" w:type="dxa"/>
              <w:right w:w="90" w:type="dxa"/>
            </w:tcMar>
            <w:shd w:fill="FFFFFF"/>
          </w:tcPr>
          <w:p>
            <w:pPr>
              <w:pStyle w:val="ToolTable"/>
            </w:pPr>
            <w:r>
              <w:t>Other reliable monthly household income</w:t>
            </w:r>
          </w:p>
        </w:tc>
        <w:tc>
          <w:tcPr>
            <w:tcW w:type="dxa" w:w="1584"/>
            <w:vAlign w:val="center"/>
            <w:tcMar>
              <w:top w:w="65" w:type="dxa"/>
              <w:bottom w:w="65" w:type="dxa"/>
              <w:left w:w="90" w:type="dxa"/>
              <w:right w:w="90" w:type="dxa"/>
            </w:tcMar>
            <w:shd w:fill="FFFFFF"/>
          </w:tcPr>
          <w:p>
            <w:pPr>
              <w:pStyle w:val="ToolTable"/>
            </w:pPr>
            <w:r/>
          </w:p>
        </w:tc>
        <w:tc>
          <w:tcPr>
            <w:tcW w:type="dxa" w:w="2880"/>
            <w:vAlign w:val="center"/>
            <w:tcMar>
              <w:top w:w="65" w:type="dxa"/>
              <w:bottom w:w="65" w:type="dxa"/>
              <w:left w:w="90" w:type="dxa"/>
              <w:right w:w="90" w:type="dxa"/>
            </w:tcMar>
            <w:shd w:fill="FFFFFF"/>
          </w:tcPr>
          <w:p>
            <w:pPr>
              <w:pStyle w:val="ToolTable"/>
            </w:pPr>
            <w:r/>
          </w:p>
        </w:tc>
      </w:tr>
    </w:tbl>
    <w:p>
      <w:pPr>
        <w:pStyle w:val="ToolBody"/>
        <w:spacing w:after="20"/>
      </w:pPr>
    </w:p>
    <w:p>
      <w:pPr>
        <w:pStyle w:val="ToolBody"/>
      </w:pPr>
      <w:r>
        <w:t>Available transaction cash = accessible personal cash − retained household reserve − other committed personal uses. Do not subtract an expense twice if it is already in the reserve calculation.</w:t>
      </w:r>
    </w:p>
    <w:p>
      <w:pPr>
        <w:pStyle w:val="ToolField"/>
      </w:pPr>
      <w:r>
        <w:rPr>
          <w:b/>
        </w:rPr>
        <w:t>My chosen reserve in months and why it fits this household</w:t>
        <w:br/>
      </w:r>
      <w:r>
        <w:t>__________________________________________________________________</w:t>
      </w:r>
    </w:p>
    <w:p>
      <w:pPr>
        <w:pStyle w:val="ToolField"/>
      </w:pPr>
      <w:r>
        <w:rPr>
          <w:b/>
        </w:rPr>
        <w:t>Effect of two or three months without expected practice distributions</w:t>
        <w:br/>
      </w:r>
      <w:r>
        <w:t>__________________________________________________________________</w:t>
      </w:r>
    </w:p>
    <w:p>
      <w:pPr>
        <w:pStyle w:val="ToolField"/>
      </w:pPr>
      <w:r>
        <w:rPr>
          <w:b/>
        </w:rPr>
        <w:t>Known credit or debt issues and the correction plan</w:t>
        <w:br/>
      </w:r>
      <w:r>
        <w:t>__________________________________________________________________</w:t>
      </w:r>
    </w:p>
    <w:p>
      <w:pPr>
        <w:pStyle w:val="ToolField"/>
      </w:pPr>
      <w:r>
        <w:rPr>
          <w:b/>
        </w:rPr>
        <w:t>Lender contacted and documents reviewed</w:t>
        <w:br/>
      </w:r>
      <w:r>
        <w:t>__________________________________________________________________</w:t>
      </w:r>
    </w:p>
    <w:p>
      <w:pPr>
        <w:pStyle w:val="ToolField"/>
      </w:pPr>
      <w:r>
        <w:rPr>
          <w:b/>
        </w:rPr>
        <w:t>What remains conditional in the financing discussion</w:t>
        <w:br/>
      </w:r>
      <w:r>
        <w:t>__________________________________________________________________</w:t>
      </w:r>
    </w:p>
    <w:p>
      <w:pPr>
        <w:pStyle w:val="ToolField"/>
      </w:pPr>
      <w:r>
        <w:rPr>
          <w:b/>
        </w:rPr>
        <w:t>Readiness decision and date to revisit</w:t>
        <w:br/>
      </w:r>
      <w:r>
        <w:t>__________________________________________________________________</w:t>
      </w:r>
    </w:p>
    <w:p>
      <w:pPr>
        <w:pStyle w:val="ToolBody"/>
      </w:pPr>
      <w:r>
        <w:t>Ryan prefers testing roughly six months of household expenses as a starting reserve target. That is a planning preference, not a financing requirement or a universal safe amount. Preliminary lender interest is not a commitment to fund a particular purchase.</w:t>
      </w:r>
    </w:p>
    <w:p>
      <w:pPr>
        <w:pStyle w:val="ToolTitle"/>
        <w:pageBreakBefore/>
      </w:pPr>
      <w:r>
        <w:t>Tool 4 Adviser responsibilities</w:t>
      </w:r>
    </w:p>
    <w:p>
      <w:pPr>
        <w:pStyle w:val="ToolReference"/>
      </w:pPr>
      <w:r>
        <w:t>Chapter 5</w:t>
      </w:r>
    </w:p>
    <w:p>
      <w:pPr>
        <w:pStyle w:val="ToolBody"/>
      </w:pPr>
      <w:r>
        <w:t>Assign the work before deadlines force hurried engagements. Add a row for each specialist the actual practice requires.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88"/>
        <w:gridCol w:w="1512"/>
        <w:gridCol w:w="3888"/>
        <w:gridCol w:w="1584"/>
      </w:tblGrid>
      <w:tr>
        <w:trPr>
          <w:cantSplit/>
          <w:tblHeader/>
        </w:trPr>
        <w:tc>
          <w:tcPr>
            <w:tcW w:type="dxa" w:w="2088"/>
            <w:vAlign w:val="center"/>
            <w:tcMar>
              <w:top w:w="65" w:type="dxa"/>
              <w:bottom w:w="65" w:type="dxa"/>
              <w:left w:w="90" w:type="dxa"/>
              <w:right w:w="90" w:type="dxa"/>
            </w:tcMar>
            <w:shd w:fill="E5E7EB"/>
          </w:tcPr>
          <w:p>
            <w:pPr>
              <w:pStyle w:val="ToolTable"/>
            </w:pPr>
            <w:r>
              <w:rPr>
                <w:b/>
              </w:rPr>
              <w:t>Reviewer</w:t>
            </w:r>
          </w:p>
        </w:tc>
        <w:tc>
          <w:tcPr>
            <w:tcW w:type="dxa" w:w="1512"/>
            <w:vAlign w:val="center"/>
            <w:tcMar>
              <w:top w:w="65" w:type="dxa"/>
              <w:bottom w:w="65" w:type="dxa"/>
              <w:left w:w="90" w:type="dxa"/>
              <w:right w:w="90" w:type="dxa"/>
            </w:tcMar>
            <w:shd w:fill="E5E7EB"/>
          </w:tcPr>
          <w:p>
            <w:pPr>
              <w:pStyle w:val="ToolTable"/>
            </w:pPr>
            <w:r>
              <w:rPr>
                <w:b/>
              </w:rPr>
              <w:t>Represents</w:t>
            </w:r>
          </w:p>
        </w:tc>
        <w:tc>
          <w:tcPr>
            <w:tcW w:type="dxa" w:w="3888"/>
            <w:vAlign w:val="center"/>
            <w:tcMar>
              <w:top w:w="65" w:type="dxa"/>
              <w:bottom w:w="65" w:type="dxa"/>
              <w:left w:w="90" w:type="dxa"/>
              <w:right w:w="90" w:type="dxa"/>
            </w:tcMar>
            <w:shd w:fill="E5E7EB"/>
          </w:tcPr>
          <w:p>
            <w:pPr>
              <w:pStyle w:val="ToolTable"/>
            </w:pPr>
            <w:r>
              <w:rPr>
                <w:b/>
              </w:rPr>
              <w:t>Scope and deliverable</w:t>
            </w:r>
          </w:p>
        </w:tc>
        <w:tc>
          <w:tcPr>
            <w:tcW w:type="dxa" w:w="1584"/>
            <w:vAlign w:val="center"/>
            <w:tcMar>
              <w:top w:w="65" w:type="dxa"/>
              <w:bottom w:w="65" w:type="dxa"/>
              <w:left w:w="90" w:type="dxa"/>
              <w:right w:w="90" w:type="dxa"/>
            </w:tcMar>
            <w:shd w:fill="E5E7EB"/>
          </w:tcPr>
          <w:p>
            <w:pPr>
              <w:pStyle w:val="ToolTable"/>
            </w:pPr>
            <w:r>
              <w:rPr>
                <w:b/>
              </w:rPr>
              <w:t>Due date</w:t>
            </w:r>
          </w:p>
        </w:tc>
      </w:tr>
      <w:tr>
        <w:trPr>
          <w:cantSplit/>
        </w:trPr>
        <w:tc>
          <w:tcPr>
            <w:tcW w:type="dxa" w:w="2088"/>
            <w:vAlign w:val="center"/>
            <w:tcMar>
              <w:top w:w="65" w:type="dxa"/>
              <w:bottom w:w="65" w:type="dxa"/>
              <w:left w:w="90" w:type="dxa"/>
              <w:right w:w="90" w:type="dxa"/>
            </w:tcMar>
            <w:shd w:fill="FFFFFF"/>
          </w:tcPr>
          <w:p>
            <w:pPr>
              <w:pStyle w:val="ToolTable"/>
            </w:pPr>
            <w:r>
              <w:t>Transaction counsel</w:t>
            </w:r>
          </w:p>
        </w:tc>
        <w:tc>
          <w:tcPr>
            <w:tcW w:type="dxa" w:w="1512"/>
            <w:vAlign w:val="center"/>
            <w:tcMar>
              <w:top w:w="65" w:type="dxa"/>
              <w:bottom w:w="65" w:type="dxa"/>
              <w:left w:w="90" w:type="dxa"/>
              <w:right w:w="90" w:type="dxa"/>
            </w:tcMar>
            <w:shd w:fill="FFFFFF"/>
          </w:tcPr>
          <w:p>
            <w:pPr>
              <w:pStyle w:val="ToolTable"/>
            </w:pPr>
            <w:r/>
          </w:p>
        </w:tc>
        <w:tc>
          <w:tcPr>
            <w:tcW w:type="dxa" w:w="3888"/>
            <w:vAlign w:val="center"/>
            <w:tcMar>
              <w:top w:w="65" w:type="dxa"/>
              <w:bottom w:w="65" w:type="dxa"/>
              <w:left w:w="90" w:type="dxa"/>
              <w:right w:w="90" w:type="dxa"/>
            </w:tcMar>
            <w:shd w:fill="FFFFFF"/>
          </w:tcPr>
          <w:p>
            <w:pPr>
              <w:pStyle w:val="ToolTable"/>
            </w:pPr>
            <w:r/>
          </w:p>
        </w:tc>
        <w:tc>
          <w:tcPr>
            <w:tcW w:type="dxa" w:w="1584"/>
            <w:vAlign w:val="center"/>
            <w:tcMar>
              <w:top w:w="65" w:type="dxa"/>
              <w:bottom w:w="65" w:type="dxa"/>
              <w:left w:w="90" w:type="dxa"/>
              <w:right w:w="90" w:type="dxa"/>
            </w:tcMar>
            <w:shd w:fill="FFFFFF"/>
          </w:tcPr>
          <w:p>
            <w:pPr>
              <w:pStyle w:val="ToolTable"/>
            </w:pPr>
            <w:r/>
          </w:p>
        </w:tc>
      </w:tr>
      <w:tr>
        <w:trPr>
          <w:cantSplit/>
        </w:trPr>
        <w:tc>
          <w:tcPr>
            <w:tcW w:type="dxa" w:w="2088"/>
            <w:vAlign w:val="center"/>
            <w:tcMar>
              <w:top w:w="65" w:type="dxa"/>
              <w:bottom w:w="65" w:type="dxa"/>
              <w:left w:w="90" w:type="dxa"/>
              <w:right w:w="90" w:type="dxa"/>
            </w:tcMar>
            <w:shd w:fill="FFFFFF"/>
          </w:tcPr>
          <w:p>
            <w:pPr>
              <w:pStyle w:val="ToolTable"/>
            </w:pPr>
            <w:r>
              <w:t>Dental CPA</w:t>
            </w:r>
          </w:p>
        </w:tc>
        <w:tc>
          <w:tcPr>
            <w:tcW w:type="dxa" w:w="1512"/>
            <w:vAlign w:val="center"/>
            <w:tcMar>
              <w:top w:w="65" w:type="dxa"/>
              <w:bottom w:w="65" w:type="dxa"/>
              <w:left w:w="90" w:type="dxa"/>
              <w:right w:w="90" w:type="dxa"/>
            </w:tcMar>
            <w:shd w:fill="FFFFFF"/>
          </w:tcPr>
          <w:p>
            <w:pPr>
              <w:pStyle w:val="ToolTable"/>
            </w:pPr>
            <w:r/>
          </w:p>
        </w:tc>
        <w:tc>
          <w:tcPr>
            <w:tcW w:type="dxa" w:w="3888"/>
            <w:vAlign w:val="center"/>
            <w:tcMar>
              <w:top w:w="65" w:type="dxa"/>
              <w:bottom w:w="65" w:type="dxa"/>
              <w:left w:w="90" w:type="dxa"/>
              <w:right w:w="90" w:type="dxa"/>
            </w:tcMar>
            <w:shd w:fill="FFFFFF"/>
          </w:tcPr>
          <w:p>
            <w:pPr>
              <w:pStyle w:val="ToolTable"/>
            </w:pPr>
            <w:r/>
          </w:p>
        </w:tc>
        <w:tc>
          <w:tcPr>
            <w:tcW w:type="dxa" w:w="1584"/>
            <w:vAlign w:val="center"/>
            <w:tcMar>
              <w:top w:w="65" w:type="dxa"/>
              <w:bottom w:w="65" w:type="dxa"/>
              <w:left w:w="90" w:type="dxa"/>
              <w:right w:w="90" w:type="dxa"/>
            </w:tcMar>
            <w:shd w:fill="FFFFFF"/>
          </w:tcPr>
          <w:p>
            <w:pPr>
              <w:pStyle w:val="ToolTable"/>
            </w:pPr>
            <w:r/>
          </w:p>
        </w:tc>
      </w:tr>
      <w:tr>
        <w:trPr>
          <w:cantSplit/>
        </w:trPr>
        <w:tc>
          <w:tcPr>
            <w:tcW w:type="dxa" w:w="2088"/>
            <w:vAlign w:val="center"/>
            <w:tcMar>
              <w:top w:w="65" w:type="dxa"/>
              <w:bottom w:w="65" w:type="dxa"/>
              <w:left w:w="90" w:type="dxa"/>
              <w:right w:w="90" w:type="dxa"/>
            </w:tcMar>
            <w:shd w:fill="FFFFFF"/>
          </w:tcPr>
          <w:p>
            <w:pPr>
              <w:pStyle w:val="ToolTable"/>
            </w:pPr>
            <w:r>
              <w:t>Lender</w:t>
            </w:r>
          </w:p>
        </w:tc>
        <w:tc>
          <w:tcPr>
            <w:tcW w:type="dxa" w:w="1512"/>
            <w:vAlign w:val="center"/>
            <w:tcMar>
              <w:top w:w="65" w:type="dxa"/>
              <w:bottom w:w="65" w:type="dxa"/>
              <w:left w:w="90" w:type="dxa"/>
              <w:right w:w="90" w:type="dxa"/>
            </w:tcMar>
            <w:shd w:fill="FFFFFF"/>
          </w:tcPr>
          <w:p>
            <w:pPr>
              <w:pStyle w:val="ToolTable"/>
            </w:pPr>
            <w:r/>
          </w:p>
        </w:tc>
        <w:tc>
          <w:tcPr>
            <w:tcW w:type="dxa" w:w="3888"/>
            <w:vAlign w:val="center"/>
            <w:tcMar>
              <w:top w:w="65" w:type="dxa"/>
              <w:bottom w:w="65" w:type="dxa"/>
              <w:left w:w="90" w:type="dxa"/>
              <w:right w:w="90" w:type="dxa"/>
            </w:tcMar>
            <w:shd w:fill="FFFFFF"/>
          </w:tcPr>
          <w:p>
            <w:pPr>
              <w:pStyle w:val="ToolTable"/>
            </w:pPr>
            <w:r/>
          </w:p>
        </w:tc>
        <w:tc>
          <w:tcPr>
            <w:tcW w:type="dxa" w:w="1584"/>
            <w:vAlign w:val="center"/>
            <w:tcMar>
              <w:top w:w="65" w:type="dxa"/>
              <w:bottom w:w="65" w:type="dxa"/>
              <w:left w:w="90" w:type="dxa"/>
              <w:right w:w="90" w:type="dxa"/>
            </w:tcMar>
            <w:shd w:fill="FFFFFF"/>
          </w:tcPr>
          <w:p>
            <w:pPr>
              <w:pStyle w:val="ToolTable"/>
            </w:pPr>
            <w:r/>
          </w:p>
        </w:tc>
      </w:tr>
      <w:tr>
        <w:trPr>
          <w:cantSplit/>
        </w:trPr>
        <w:tc>
          <w:tcPr>
            <w:tcW w:type="dxa" w:w="2088"/>
            <w:vAlign w:val="center"/>
            <w:tcMar>
              <w:top w:w="65" w:type="dxa"/>
              <w:bottom w:w="65" w:type="dxa"/>
              <w:left w:w="90" w:type="dxa"/>
              <w:right w:w="90" w:type="dxa"/>
            </w:tcMar>
            <w:shd w:fill="FFFFFF"/>
          </w:tcPr>
          <w:p>
            <w:pPr>
              <w:pStyle w:val="ToolTable"/>
            </w:pPr>
            <w:r>
              <w:t>Payer specialist</w:t>
            </w:r>
          </w:p>
        </w:tc>
        <w:tc>
          <w:tcPr>
            <w:tcW w:type="dxa" w:w="1512"/>
            <w:vAlign w:val="center"/>
            <w:tcMar>
              <w:top w:w="65" w:type="dxa"/>
              <w:bottom w:w="65" w:type="dxa"/>
              <w:left w:w="90" w:type="dxa"/>
              <w:right w:w="90" w:type="dxa"/>
            </w:tcMar>
            <w:shd w:fill="FFFFFF"/>
          </w:tcPr>
          <w:p>
            <w:pPr>
              <w:pStyle w:val="ToolTable"/>
            </w:pPr>
            <w:r/>
          </w:p>
        </w:tc>
        <w:tc>
          <w:tcPr>
            <w:tcW w:type="dxa" w:w="3888"/>
            <w:vAlign w:val="center"/>
            <w:tcMar>
              <w:top w:w="65" w:type="dxa"/>
              <w:bottom w:w="65" w:type="dxa"/>
              <w:left w:w="90" w:type="dxa"/>
              <w:right w:w="90" w:type="dxa"/>
            </w:tcMar>
            <w:shd w:fill="FFFFFF"/>
          </w:tcPr>
          <w:p>
            <w:pPr>
              <w:pStyle w:val="ToolTable"/>
            </w:pPr>
            <w:r/>
          </w:p>
        </w:tc>
        <w:tc>
          <w:tcPr>
            <w:tcW w:type="dxa" w:w="1584"/>
            <w:vAlign w:val="center"/>
            <w:tcMar>
              <w:top w:w="65" w:type="dxa"/>
              <w:bottom w:w="65" w:type="dxa"/>
              <w:left w:w="90" w:type="dxa"/>
              <w:right w:w="90" w:type="dxa"/>
            </w:tcMar>
            <w:shd w:fill="FFFFFF"/>
          </w:tcPr>
          <w:p>
            <w:pPr>
              <w:pStyle w:val="ToolTable"/>
            </w:pPr>
            <w:r/>
          </w:p>
        </w:tc>
      </w:tr>
      <w:tr>
        <w:trPr>
          <w:cantSplit/>
        </w:trPr>
        <w:tc>
          <w:tcPr>
            <w:tcW w:type="dxa" w:w="2088"/>
            <w:vAlign w:val="center"/>
            <w:tcMar>
              <w:top w:w="65" w:type="dxa"/>
              <w:bottom w:w="65" w:type="dxa"/>
              <w:left w:w="90" w:type="dxa"/>
              <w:right w:w="90" w:type="dxa"/>
            </w:tcMar>
            <w:shd w:fill="FFFFFF"/>
          </w:tcPr>
          <w:p>
            <w:pPr>
              <w:pStyle w:val="ToolTable"/>
            </w:pPr>
            <w:r>
              <w:t>Clinical or IT reviewer</w:t>
            </w:r>
          </w:p>
        </w:tc>
        <w:tc>
          <w:tcPr>
            <w:tcW w:type="dxa" w:w="1512"/>
            <w:vAlign w:val="center"/>
            <w:tcMar>
              <w:top w:w="65" w:type="dxa"/>
              <w:bottom w:w="65" w:type="dxa"/>
              <w:left w:w="90" w:type="dxa"/>
              <w:right w:w="90" w:type="dxa"/>
            </w:tcMar>
            <w:shd w:fill="FFFFFF"/>
          </w:tcPr>
          <w:p>
            <w:pPr>
              <w:pStyle w:val="ToolTable"/>
            </w:pPr>
            <w:r/>
          </w:p>
        </w:tc>
        <w:tc>
          <w:tcPr>
            <w:tcW w:type="dxa" w:w="3888"/>
            <w:vAlign w:val="center"/>
            <w:tcMar>
              <w:top w:w="65" w:type="dxa"/>
              <w:bottom w:w="65" w:type="dxa"/>
              <w:left w:w="90" w:type="dxa"/>
              <w:right w:w="90" w:type="dxa"/>
            </w:tcMar>
            <w:shd w:fill="FFFFFF"/>
          </w:tcPr>
          <w:p>
            <w:pPr>
              <w:pStyle w:val="ToolTable"/>
            </w:pPr>
            <w:r/>
          </w:p>
        </w:tc>
        <w:tc>
          <w:tcPr>
            <w:tcW w:type="dxa" w:w="1584"/>
            <w:vAlign w:val="center"/>
            <w:tcMar>
              <w:top w:w="65" w:type="dxa"/>
              <w:bottom w:w="65" w:type="dxa"/>
              <w:left w:w="90" w:type="dxa"/>
              <w:right w:w="90" w:type="dxa"/>
            </w:tcMar>
            <w:shd w:fill="FFFFFF"/>
          </w:tcPr>
          <w:p>
            <w:pPr>
              <w:pStyle w:val="ToolTable"/>
            </w:pPr>
            <w:r/>
          </w:p>
        </w:tc>
      </w:tr>
    </w:tbl>
    <w:p>
      <w:pPr>
        <w:pStyle w:val="ToolBody"/>
        <w:spacing w:after="20"/>
      </w:pPr>
    </w:p>
    <w:p>
      <w:pPr>
        <w:pStyle w:val="ToolField"/>
      </w:pPr>
      <w:r>
        <w:rPr>
          <w:b/>
        </w:rPr>
        <w:t>Who coordinates unresolved items across the team</w:t>
        <w:br/>
      </w:r>
      <w:r>
        <w:t>__________________________________________________________________</w:t>
      </w:r>
    </w:p>
    <w:p>
      <w:pPr>
        <w:pStyle w:val="ToolField"/>
      </w:pPr>
      <w:r>
        <w:rPr>
          <w:b/>
        </w:rPr>
        <w:t>Fee, additional charges, and what is owed if the purchase stops</w:t>
        <w:br/>
      </w:r>
      <w:r>
        <w:t>__________________________________________________________________</w:t>
      </w:r>
    </w:p>
    <w:p>
      <w:pPr>
        <w:pStyle w:val="ToolField"/>
      </w:pPr>
      <w:r>
        <w:rPr>
          <w:b/>
        </w:rPr>
        <w:t>Referral compensation or other conflicts disclosed</w:t>
        <w:br/>
      </w:r>
      <w:r>
        <w:t>__________________________________________________________________</w:t>
      </w:r>
    </w:p>
    <w:p>
      <w:pPr>
        <w:pStyle w:val="ToolField"/>
      </w:pPr>
      <w:r>
        <w:rPr>
          <w:b/>
        </w:rPr>
        <w:t>Daily contact and urgent response arrangement</w:t>
        <w:br/>
      </w:r>
      <w:r>
        <w:t>__________________________________________________________________</w:t>
      </w:r>
    </w:p>
    <w:p>
      <w:pPr>
        <w:pStyle w:val="ToolField"/>
      </w:pPr>
      <w:r>
        <w:rPr>
          <w:b/>
        </w:rPr>
        <w:t>Responsibilities nobody has yet accepted</w:t>
        <w:br/>
      </w:r>
      <w:r>
        <w:t>__________________________________________________________________</w:t>
      </w:r>
    </w:p>
    <w:p>
      <w:pPr>
        <w:pStyle w:val="ToolBody"/>
      </w:pPr>
      <w:r>
        <w:t>Example: buyer counsel reviews the proposed lease assignment and reports unresolved consent, guarantee, and use restrictions by the agreed date. “Attorney involved” does not establish that lease work was included.</w:t>
      </w:r>
    </w:p>
    <w:p>
      <w:pPr>
        <w:pStyle w:val="ToolBody"/>
      </w:pPr>
      <w:r>
        <w:t>Confirm engagements and scope with the actual professionals. The buyer retains the decisions about household fit, clinical capacity, acceptable workload, and whether to buy.</w:t>
      </w:r>
    </w:p>
    <w:p>
      <w:pPr>
        <w:pStyle w:val="ToolTitle"/>
        <w:pageBreakBefore/>
      </w:pPr>
      <w:r>
        <w:t>Tool 5 Search and deal screen</w:t>
      </w:r>
    </w:p>
    <w:p>
      <w:pPr>
        <w:pStyle w:val="ToolReference"/>
      </w:pPr>
      <w:r>
        <w:t>Chapters 6 through 10</w:t>
      </w:r>
    </w:p>
    <w:p>
      <w:pPr>
        <w:pStyle w:val="ToolBody"/>
      </w:pPr>
      <w:r>
        <w:t>Use one row per opportunity. Choose a next action before scheduling another conversation. Preserve rejected entries so the same unsuitable practice does not restart the search.</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72"/>
        <w:gridCol w:w="1152"/>
        <w:gridCol w:w="1152"/>
        <w:gridCol w:w="3456"/>
        <w:gridCol w:w="1440"/>
      </w:tblGrid>
      <w:tr>
        <w:trPr>
          <w:cantSplit/>
          <w:tblHeader/>
        </w:trPr>
        <w:tc>
          <w:tcPr>
            <w:tcW w:type="dxa" w:w="1872"/>
            <w:vAlign w:val="center"/>
            <w:tcMar>
              <w:top w:w="65" w:type="dxa"/>
              <w:bottom w:w="65" w:type="dxa"/>
              <w:left w:w="90" w:type="dxa"/>
              <w:right w:w="90" w:type="dxa"/>
            </w:tcMar>
            <w:shd w:fill="E5E7EB"/>
          </w:tcPr>
          <w:p>
            <w:pPr>
              <w:pStyle w:val="ToolTable"/>
            </w:pPr>
            <w:r>
              <w:rPr>
                <w:b/>
              </w:rPr>
              <w:t>ID and location</w:t>
            </w:r>
          </w:p>
        </w:tc>
        <w:tc>
          <w:tcPr>
            <w:tcW w:type="dxa" w:w="1152"/>
            <w:vAlign w:val="center"/>
            <w:tcMar>
              <w:top w:w="65" w:type="dxa"/>
              <w:bottom w:w="65" w:type="dxa"/>
              <w:left w:w="90" w:type="dxa"/>
              <w:right w:w="90" w:type="dxa"/>
            </w:tcMar>
            <w:shd w:fill="E5E7EB"/>
          </w:tcPr>
          <w:p>
            <w:pPr>
              <w:pStyle w:val="ToolTable"/>
            </w:pPr>
            <w:r>
              <w:rPr>
                <w:b/>
              </w:rPr>
              <w:t>Source</w:t>
            </w:r>
          </w:p>
        </w:tc>
        <w:tc>
          <w:tcPr>
            <w:tcW w:type="dxa" w:w="1152"/>
            <w:vAlign w:val="center"/>
            <w:tcMar>
              <w:top w:w="65" w:type="dxa"/>
              <w:bottom w:w="65" w:type="dxa"/>
              <w:left w:w="90" w:type="dxa"/>
              <w:right w:w="90" w:type="dxa"/>
            </w:tcMar>
            <w:shd w:fill="E5E7EB"/>
          </w:tcPr>
          <w:p>
            <w:pPr>
              <w:pStyle w:val="ToolTable"/>
            </w:pPr>
            <w:r>
              <w:rPr>
                <w:b/>
              </w:rPr>
              <w:t>Stage</w:t>
            </w:r>
          </w:p>
        </w:tc>
        <w:tc>
          <w:tcPr>
            <w:tcW w:type="dxa" w:w="3456"/>
            <w:vAlign w:val="center"/>
            <w:tcMar>
              <w:top w:w="65" w:type="dxa"/>
              <w:bottom w:w="65" w:type="dxa"/>
              <w:left w:w="90" w:type="dxa"/>
              <w:right w:w="90" w:type="dxa"/>
            </w:tcMar>
            <w:shd w:fill="E5E7EB"/>
          </w:tcPr>
          <w:p>
            <w:pPr>
              <w:pStyle w:val="ToolTable"/>
            </w:pPr>
            <w:r>
              <w:rPr>
                <w:b/>
              </w:rPr>
              <w:t>Next action and owner</w:t>
            </w:r>
          </w:p>
        </w:tc>
        <w:tc>
          <w:tcPr>
            <w:tcW w:type="dxa" w:w="1440"/>
            <w:vAlign w:val="center"/>
            <w:tcMar>
              <w:top w:w="65" w:type="dxa"/>
              <w:bottom w:w="65" w:type="dxa"/>
              <w:left w:w="90" w:type="dxa"/>
              <w:right w:w="90" w:type="dxa"/>
            </w:tcMar>
            <w:shd w:fill="E5E7EB"/>
          </w:tcPr>
          <w:p>
            <w:pPr>
              <w:pStyle w:val="ToolTable"/>
            </w:pPr>
            <w:r>
              <w:rPr>
                <w:b/>
              </w:rPr>
              <w:t>Review date</w:t>
            </w:r>
          </w:p>
        </w:tc>
      </w:tr>
      <w:tr>
        <w:trPr>
          <w:cantSplit/>
        </w:trPr>
        <w:tc>
          <w:tcPr>
            <w:tcW w:type="dxa" w:w="1872"/>
            <w:vAlign w:val="center"/>
            <w:tcMar>
              <w:top w:w="65" w:type="dxa"/>
              <w:bottom w:w="65" w:type="dxa"/>
              <w:left w:w="90" w:type="dxa"/>
              <w:right w:w="90" w:type="dxa"/>
            </w:tcMar>
            <w:shd w:fill="FFFFFF"/>
          </w:tcPr>
          <w:p>
            <w:pPr>
              <w:pStyle w:val="ToolTable"/>
            </w:pPr>
            <w:r>
              <w:t>M01 Maple Street</w:t>
            </w:r>
          </w:p>
        </w:tc>
        <w:tc>
          <w:tcPr>
            <w:tcW w:type="dxa" w:w="1152"/>
            <w:vAlign w:val="center"/>
            <w:tcMar>
              <w:top w:w="65" w:type="dxa"/>
              <w:bottom w:w="65" w:type="dxa"/>
              <w:left w:w="90" w:type="dxa"/>
              <w:right w:w="90" w:type="dxa"/>
            </w:tcMar>
            <w:shd w:fill="FFFFFF"/>
          </w:tcPr>
          <w:p>
            <w:pPr>
              <w:pStyle w:val="ToolTable"/>
            </w:pPr>
            <w:r>
              <w:t>Fictional example</w:t>
            </w:r>
          </w:p>
        </w:tc>
        <w:tc>
          <w:tcPr>
            <w:tcW w:type="dxa" w:w="1152"/>
            <w:vAlign w:val="center"/>
            <w:tcMar>
              <w:top w:w="65" w:type="dxa"/>
              <w:bottom w:w="65" w:type="dxa"/>
              <w:left w:w="90" w:type="dxa"/>
              <w:right w:w="90" w:type="dxa"/>
            </w:tcMar>
            <w:shd w:fill="FFFFFF"/>
          </w:tcPr>
          <w:p>
            <w:pPr>
              <w:pStyle w:val="ToolTable"/>
            </w:pPr>
            <w:r>
              <w:t>Pause</w:t>
            </w:r>
          </w:p>
        </w:tc>
        <w:tc>
          <w:tcPr>
            <w:tcW w:type="dxa" w:w="3456"/>
            <w:vAlign w:val="center"/>
            <w:tcMar>
              <w:top w:w="65" w:type="dxa"/>
              <w:bottom w:w="65" w:type="dxa"/>
              <w:left w:w="90" w:type="dxa"/>
              <w:right w:w="90" w:type="dxa"/>
            </w:tcMar>
            <w:shd w:fill="FFFFFF"/>
          </w:tcPr>
          <w:p>
            <w:pPr>
              <w:pStyle w:val="ToolTable"/>
            </w:pPr>
            <w:r>
              <w:t>Buyer requests provider detail</w:t>
            </w:r>
          </w:p>
        </w:tc>
        <w:tc>
          <w:tcPr>
            <w:tcW w:type="dxa" w:w="1440"/>
            <w:vAlign w:val="center"/>
            <w:tcMar>
              <w:top w:w="65" w:type="dxa"/>
              <w:bottom w:w="65" w:type="dxa"/>
              <w:left w:w="90" w:type="dxa"/>
              <w:right w:w="90" w:type="dxa"/>
            </w:tcMar>
            <w:shd w:fill="FFFFFF"/>
          </w:tcPr>
          <w:p>
            <w:pPr>
              <w:pStyle w:val="ToolTable"/>
            </w:pPr>
            <w:r>
              <w:t>Before site visit</w:t>
            </w:r>
          </w:p>
        </w:tc>
      </w:tr>
      <w:tr>
        <w:trPr>
          <w:cantSplit/>
        </w:trPr>
        <w:tc>
          <w:tcPr>
            <w:tcW w:type="dxa" w:w="1872"/>
            <w:vAlign w:val="center"/>
            <w:tcMar>
              <w:top w:w="65" w:type="dxa"/>
              <w:bottom w:w="65" w:type="dxa"/>
              <w:left w:w="90" w:type="dxa"/>
              <w:right w:w="90" w:type="dxa"/>
            </w:tcMar>
            <w:shd w:fill="FFFFFF"/>
          </w:tcPr>
          <w:p>
            <w:pPr>
              <w:pStyle w:val="ToolTable"/>
            </w:pPr>
            <w:r/>
          </w:p>
        </w:tc>
        <w:tc>
          <w:tcPr>
            <w:tcW w:type="dxa" w:w="1152"/>
            <w:vAlign w:val="center"/>
            <w:tcMar>
              <w:top w:w="65" w:type="dxa"/>
              <w:bottom w:w="65" w:type="dxa"/>
              <w:left w:w="90" w:type="dxa"/>
              <w:right w:w="90" w:type="dxa"/>
            </w:tcMar>
            <w:shd w:fill="FFFFFF"/>
          </w:tcPr>
          <w:p>
            <w:pPr>
              <w:pStyle w:val="ToolTable"/>
            </w:pPr>
            <w:r/>
          </w:p>
        </w:tc>
        <w:tc>
          <w:tcPr>
            <w:tcW w:type="dxa" w:w="1152"/>
            <w:vAlign w:val="center"/>
            <w:tcMar>
              <w:top w:w="65" w:type="dxa"/>
              <w:bottom w:w="65" w:type="dxa"/>
              <w:left w:w="90" w:type="dxa"/>
              <w:right w:w="90" w:type="dxa"/>
            </w:tcMar>
            <w:shd w:fill="FFFFFF"/>
          </w:tcPr>
          <w:p>
            <w:pPr>
              <w:pStyle w:val="ToolTable"/>
            </w:pPr>
            <w:r/>
          </w:p>
        </w:tc>
        <w:tc>
          <w:tcPr>
            <w:tcW w:type="dxa" w:w="3456"/>
            <w:vAlign w:val="center"/>
            <w:tcMar>
              <w:top w:w="65" w:type="dxa"/>
              <w:bottom w:w="65" w:type="dxa"/>
              <w:left w:w="90" w:type="dxa"/>
              <w:right w:w="90" w:type="dxa"/>
            </w:tcMar>
            <w:shd w:fill="FFFFFF"/>
          </w:tcPr>
          <w:p>
            <w:pPr>
              <w:pStyle w:val="ToolTable"/>
            </w:pPr>
            <w:r/>
          </w:p>
        </w:tc>
        <w:tc>
          <w:tcPr>
            <w:tcW w:type="dxa" w:w="1440"/>
            <w:vAlign w:val="center"/>
            <w:tcMar>
              <w:top w:w="65" w:type="dxa"/>
              <w:bottom w:w="65" w:type="dxa"/>
              <w:left w:w="90" w:type="dxa"/>
              <w:right w:w="90" w:type="dxa"/>
            </w:tcMar>
            <w:shd w:fill="FFFFFF"/>
          </w:tcPr>
          <w:p>
            <w:pPr>
              <w:pStyle w:val="ToolTable"/>
            </w:pPr>
            <w:r/>
          </w:p>
        </w:tc>
      </w:tr>
      <w:tr>
        <w:trPr>
          <w:cantSplit/>
        </w:trPr>
        <w:tc>
          <w:tcPr>
            <w:tcW w:type="dxa" w:w="1872"/>
            <w:vAlign w:val="center"/>
            <w:tcMar>
              <w:top w:w="65" w:type="dxa"/>
              <w:bottom w:w="65" w:type="dxa"/>
              <w:left w:w="90" w:type="dxa"/>
              <w:right w:w="90" w:type="dxa"/>
            </w:tcMar>
            <w:shd w:fill="FFFFFF"/>
          </w:tcPr>
          <w:p>
            <w:pPr>
              <w:pStyle w:val="ToolTable"/>
            </w:pPr>
            <w:r/>
          </w:p>
        </w:tc>
        <w:tc>
          <w:tcPr>
            <w:tcW w:type="dxa" w:w="1152"/>
            <w:vAlign w:val="center"/>
            <w:tcMar>
              <w:top w:w="65" w:type="dxa"/>
              <w:bottom w:w="65" w:type="dxa"/>
              <w:left w:w="90" w:type="dxa"/>
              <w:right w:w="90" w:type="dxa"/>
            </w:tcMar>
            <w:shd w:fill="FFFFFF"/>
          </w:tcPr>
          <w:p>
            <w:pPr>
              <w:pStyle w:val="ToolTable"/>
            </w:pPr>
            <w:r/>
          </w:p>
        </w:tc>
        <w:tc>
          <w:tcPr>
            <w:tcW w:type="dxa" w:w="1152"/>
            <w:vAlign w:val="center"/>
            <w:tcMar>
              <w:top w:w="65" w:type="dxa"/>
              <w:bottom w:w="65" w:type="dxa"/>
              <w:left w:w="90" w:type="dxa"/>
              <w:right w:w="90" w:type="dxa"/>
            </w:tcMar>
            <w:shd w:fill="FFFFFF"/>
          </w:tcPr>
          <w:p>
            <w:pPr>
              <w:pStyle w:val="ToolTable"/>
            </w:pPr>
            <w:r/>
          </w:p>
        </w:tc>
        <w:tc>
          <w:tcPr>
            <w:tcW w:type="dxa" w:w="3456"/>
            <w:vAlign w:val="center"/>
            <w:tcMar>
              <w:top w:w="65" w:type="dxa"/>
              <w:bottom w:w="65" w:type="dxa"/>
              <w:left w:w="90" w:type="dxa"/>
              <w:right w:w="90" w:type="dxa"/>
            </w:tcMar>
            <w:shd w:fill="FFFFFF"/>
          </w:tcPr>
          <w:p>
            <w:pPr>
              <w:pStyle w:val="ToolTable"/>
            </w:pPr>
            <w:r/>
          </w:p>
        </w:tc>
        <w:tc>
          <w:tcPr>
            <w:tcW w:type="dxa" w:w="1440"/>
            <w:vAlign w:val="center"/>
            <w:tcMar>
              <w:top w:w="65" w:type="dxa"/>
              <w:bottom w:w="65" w:type="dxa"/>
              <w:left w:w="90" w:type="dxa"/>
              <w:right w:w="90" w:type="dxa"/>
            </w:tcMar>
            <w:shd w:fill="FFFFFF"/>
          </w:tcPr>
          <w:p>
            <w:pPr>
              <w:pStyle w:val="ToolTable"/>
            </w:pPr>
            <w:r/>
          </w:p>
        </w:tc>
      </w:tr>
      <w:tr>
        <w:trPr>
          <w:cantSplit/>
        </w:trPr>
        <w:tc>
          <w:tcPr>
            <w:tcW w:type="dxa" w:w="1872"/>
            <w:vAlign w:val="center"/>
            <w:tcMar>
              <w:top w:w="65" w:type="dxa"/>
              <w:bottom w:w="65" w:type="dxa"/>
              <w:left w:w="90" w:type="dxa"/>
              <w:right w:w="90" w:type="dxa"/>
            </w:tcMar>
            <w:shd w:fill="FFFFFF"/>
          </w:tcPr>
          <w:p>
            <w:pPr>
              <w:pStyle w:val="ToolTable"/>
            </w:pPr>
            <w:r/>
          </w:p>
        </w:tc>
        <w:tc>
          <w:tcPr>
            <w:tcW w:type="dxa" w:w="1152"/>
            <w:vAlign w:val="center"/>
            <w:tcMar>
              <w:top w:w="65" w:type="dxa"/>
              <w:bottom w:w="65" w:type="dxa"/>
              <w:left w:w="90" w:type="dxa"/>
              <w:right w:w="90" w:type="dxa"/>
            </w:tcMar>
            <w:shd w:fill="FFFFFF"/>
          </w:tcPr>
          <w:p>
            <w:pPr>
              <w:pStyle w:val="ToolTable"/>
            </w:pPr>
            <w:r/>
          </w:p>
        </w:tc>
        <w:tc>
          <w:tcPr>
            <w:tcW w:type="dxa" w:w="1152"/>
            <w:vAlign w:val="center"/>
            <w:tcMar>
              <w:top w:w="65" w:type="dxa"/>
              <w:bottom w:w="65" w:type="dxa"/>
              <w:left w:w="90" w:type="dxa"/>
              <w:right w:w="90" w:type="dxa"/>
            </w:tcMar>
            <w:shd w:fill="FFFFFF"/>
          </w:tcPr>
          <w:p>
            <w:pPr>
              <w:pStyle w:val="ToolTable"/>
            </w:pPr>
            <w:r/>
          </w:p>
        </w:tc>
        <w:tc>
          <w:tcPr>
            <w:tcW w:type="dxa" w:w="3456"/>
            <w:vAlign w:val="center"/>
            <w:tcMar>
              <w:top w:w="65" w:type="dxa"/>
              <w:bottom w:w="65" w:type="dxa"/>
              <w:left w:w="90" w:type="dxa"/>
              <w:right w:w="90" w:type="dxa"/>
            </w:tcMar>
            <w:shd w:fill="FFFFFF"/>
          </w:tcPr>
          <w:p>
            <w:pPr>
              <w:pStyle w:val="ToolTable"/>
            </w:pPr>
            <w:r/>
          </w:p>
        </w:tc>
        <w:tc>
          <w:tcPr>
            <w:tcW w:type="dxa" w:w="1440"/>
            <w:vAlign w:val="center"/>
            <w:tcMar>
              <w:top w:w="65" w:type="dxa"/>
              <w:bottom w:w="65" w:type="dxa"/>
              <w:left w:w="90" w:type="dxa"/>
              <w:right w:w="90" w:type="dxa"/>
            </w:tcMar>
            <w:shd w:fill="FFFFFF"/>
          </w:tcPr>
          <w:p>
            <w:pPr>
              <w:pStyle w:val="ToolTable"/>
            </w:pPr>
            <w:r/>
          </w:p>
        </w:tc>
      </w:tr>
    </w:tbl>
    <w:p>
      <w:pPr>
        <w:pStyle w:val="ToolBody"/>
        <w:spacing w:after="20"/>
      </w:pPr>
    </w:p>
    <w:p>
      <w:pPr>
        <w:pStyle w:val="ToolHeading"/>
      </w:pPr>
      <w:r>
        <w:t>Screen one practice</w:t>
      </w:r>
    </w:p>
    <w:p>
      <w:pPr>
        <w:pStyle w:val="ToolField"/>
      </w:pPr>
      <w:r>
        <w:rPr>
          <w:b/>
        </w:rPr>
        <w:t>Fit with location, dentistry, schedule, and household requirements</w:t>
        <w:br/>
      </w:r>
      <w:r>
        <w:t>__________________________________________________________________</w:t>
      </w:r>
    </w:p>
    <w:p>
      <w:pPr>
        <w:pStyle w:val="ToolField"/>
      </w:pPr>
      <w:r>
        <w:rPr>
          <w:b/>
        </w:rPr>
        <w:t>Collections definition and period claimed in the packet</w:t>
        <w:br/>
      </w:r>
      <w:r>
        <w:t>__________________________________________________________________</w:t>
      </w:r>
    </w:p>
    <w:p>
      <w:pPr>
        <w:pStyle w:val="ToolField"/>
      </w:pPr>
      <w:r>
        <w:rPr>
          <w:b/>
        </w:rPr>
        <w:t>Who or what may not transfer</w:t>
        <w:br/>
      </w:r>
      <w:r>
        <w:t>__________________________________________________________________</w:t>
      </w:r>
    </w:p>
    <w:p>
      <w:pPr>
        <w:pStyle w:val="ToolField"/>
      </w:pPr>
      <w:r>
        <w:rPr>
          <w:b/>
        </w:rPr>
        <w:t>Whether the money could work and what costs are missing</w:t>
        <w:br/>
      </w:r>
      <w:r>
        <w:t>__________________________________________________________________</w:t>
      </w:r>
    </w:p>
    <w:p>
      <w:pPr>
        <w:pStyle w:val="ToolField"/>
      </w:pPr>
      <w:r>
        <w:rPr>
          <w:b/>
        </w:rPr>
        <w:t>Upside claim and the work required to achieve it</w:t>
        <w:br/>
      </w:r>
      <w:r>
        <w:t>__________________________________________________________________</w:t>
      </w:r>
    </w:p>
    <w:p>
      <w:pPr>
        <w:pStyle w:val="ToolField"/>
      </w:pPr>
      <w:r>
        <w:rPr>
          <w:b/>
        </w:rPr>
        <w:t>Fundamental operating obstacle or firm deal breaker</w:t>
        <w:br/>
      </w:r>
      <w:r>
        <w:t>__________________________________________________________________</w:t>
      </w:r>
    </w:p>
    <w:p>
      <w:pPr>
        <w:pStyle w:val="ToolField"/>
      </w:pPr>
      <w:r>
        <w:rPr>
          <w:b/>
        </w:rPr>
        <w:t>Decision and specific evidence needed next</w:t>
        <w:br/>
      </w:r>
      <w:r>
        <w:t>__________________________________________________________________</w:t>
      </w:r>
    </w:p>
    <w:p>
      <w:pPr>
        <w:pStyle w:val="ToolBody"/>
      </w:pPr>
      <w:r>
        <w:t>Use proceed, renegotiate, pause, or walk away. At this stage, proceed means investigate further. Missing information is a reason to request evidence; it is not proof of misconduct or permission to enter zero in the forecast.</w:t>
      </w:r>
    </w:p>
    <w:p>
      <w:pPr>
        <w:pStyle w:val="ToolTitle"/>
        <w:pageBreakBefore/>
      </w:pPr>
      <w:r>
        <w:t>Tool 6 Revenue evidence and transfer</w:t>
      </w:r>
    </w:p>
    <w:p>
      <w:pPr>
        <w:pStyle w:val="ToolReference"/>
      </w:pPr>
      <w:r>
        <w:t>Chapters 11 and 33</w:t>
      </w:r>
    </w:p>
    <w:p>
      <w:pPr>
        <w:pStyle w:val="ToolBody"/>
      </w:pPr>
      <w:r>
        <w:t>Keep the historical reconciliation separate from the buyer forecast. Use consistent periods and definitions; record refunds, fees, and timing differences explicitly.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752"/>
        <w:gridCol w:w="1440"/>
        <w:gridCol w:w="2880"/>
      </w:tblGrid>
      <w:tr>
        <w:trPr>
          <w:cantSplit/>
          <w:tblHeader/>
        </w:trPr>
        <w:tc>
          <w:tcPr>
            <w:tcW w:type="dxa" w:w="4752"/>
            <w:vAlign w:val="center"/>
            <w:tcMar>
              <w:top w:w="65" w:type="dxa"/>
              <w:bottom w:w="65" w:type="dxa"/>
              <w:left w:w="90" w:type="dxa"/>
              <w:right w:w="90" w:type="dxa"/>
            </w:tcMar>
            <w:shd w:fill="E5E7EB"/>
          </w:tcPr>
          <w:p>
            <w:pPr>
              <w:pStyle w:val="ToolTable"/>
            </w:pPr>
            <w:r>
              <w:rPr>
                <w:b/>
              </w:rPr>
              <w:t>Historical bridge for the same period</w:t>
            </w:r>
          </w:p>
        </w:tc>
        <w:tc>
          <w:tcPr>
            <w:tcW w:type="dxa" w:w="1440"/>
            <w:vAlign w:val="center"/>
            <w:tcMar>
              <w:top w:w="65" w:type="dxa"/>
              <w:bottom w:w="65" w:type="dxa"/>
              <w:left w:w="90" w:type="dxa"/>
              <w:right w:w="90" w:type="dxa"/>
            </w:tcMar>
            <w:shd w:fill="E5E7EB"/>
          </w:tcPr>
          <w:p>
            <w:pPr>
              <w:pStyle w:val="ToolTable"/>
            </w:pPr>
            <w:r>
              <w:rPr>
                <w:b/>
              </w:rPr>
              <w:t>Amount</w:t>
            </w:r>
          </w:p>
        </w:tc>
        <w:tc>
          <w:tcPr>
            <w:tcW w:type="dxa" w:w="2880"/>
            <w:vAlign w:val="center"/>
            <w:tcMar>
              <w:top w:w="65" w:type="dxa"/>
              <w:bottom w:w="65" w:type="dxa"/>
              <w:left w:w="90" w:type="dxa"/>
              <w:right w:w="90" w:type="dxa"/>
            </w:tcMar>
            <w:shd w:fill="E5E7EB"/>
          </w:tcPr>
          <w:p>
            <w:pPr>
              <w:pStyle w:val="ToolTable"/>
            </w:pPr>
            <w:r>
              <w:rPr>
                <w:b/>
              </w:rPr>
              <w:t>Report or explanation</w:t>
            </w:r>
          </w:p>
        </w:tc>
      </w:tr>
      <w:tr>
        <w:trPr>
          <w:cantSplit/>
        </w:trPr>
        <w:tc>
          <w:tcPr>
            <w:tcW w:type="dxa" w:w="4752"/>
            <w:vAlign w:val="center"/>
            <w:tcMar>
              <w:top w:w="65" w:type="dxa"/>
              <w:bottom w:w="65" w:type="dxa"/>
              <w:left w:w="90" w:type="dxa"/>
              <w:right w:w="90" w:type="dxa"/>
            </w:tcMar>
            <w:shd w:fill="FFFFFF"/>
          </w:tcPr>
          <w:p>
            <w:pPr>
              <w:pStyle w:val="ToolTable"/>
            </w:pPr>
            <w:r>
              <w:t>Practice software net collections</w:t>
            </w:r>
          </w:p>
        </w:tc>
        <w:tc>
          <w:tcPr>
            <w:tcW w:type="dxa" w:w="1440"/>
            <w:vAlign w:val="center"/>
            <w:tcMar>
              <w:top w:w="65" w:type="dxa"/>
              <w:bottom w:w="65" w:type="dxa"/>
              <w:left w:w="90" w:type="dxa"/>
              <w:right w:w="90" w:type="dxa"/>
            </w:tcMar>
            <w:shd w:fill="FFFFFF"/>
          </w:tcPr>
          <w:p>
            <w:pPr>
              <w:pStyle w:val="ToolTable"/>
            </w:pPr>
            <w:r/>
          </w:p>
        </w:tc>
        <w:tc>
          <w:tcPr>
            <w:tcW w:type="dxa" w:w="2880"/>
            <w:vAlign w:val="center"/>
            <w:tcMar>
              <w:top w:w="65" w:type="dxa"/>
              <w:bottom w:w="65" w:type="dxa"/>
              <w:left w:w="90" w:type="dxa"/>
              <w:right w:w="90" w:type="dxa"/>
            </w:tcMar>
            <w:shd w:fill="FFFFFF"/>
          </w:tcPr>
          <w:p>
            <w:pPr>
              <w:pStyle w:val="ToolTable"/>
            </w:pPr>
            <w:r/>
          </w:p>
        </w:tc>
      </w:tr>
      <w:tr>
        <w:trPr>
          <w:cantSplit/>
        </w:trPr>
        <w:tc>
          <w:tcPr>
            <w:tcW w:type="dxa" w:w="4752"/>
            <w:vAlign w:val="center"/>
            <w:tcMar>
              <w:top w:w="65" w:type="dxa"/>
              <w:bottom w:w="65" w:type="dxa"/>
              <w:left w:w="90" w:type="dxa"/>
              <w:right w:w="90" w:type="dxa"/>
            </w:tcMar>
            <w:shd w:fill="FFFFFF"/>
          </w:tcPr>
          <w:p>
            <w:pPr>
              <w:pStyle w:val="ToolTable"/>
            </w:pPr>
            <w:r>
              <w:t>Less fees netted before deposit</w:t>
            </w:r>
          </w:p>
        </w:tc>
        <w:tc>
          <w:tcPr>
            <w:tcW w:type="dxa" w:w="1440"/>
            <w:vAlign w:val="center"/>
            <w:tcMar>
              <w:top w:w="65" w:type="dxa"/>
              <w:bottom w:w="65" w:type="dxa"/>
              <w:left w:w="90" w:type="dxa"/>
              <w:right w:w="90" w:type="dxa"/>
            </w:tcMar>
            <w:shd w:fill="FFFFFF"/>
          </w:tcPr>
          <w:p>
            <w:pPr>
              <w:pStyle w:val="ToolTable"/>
            </w:pPr>
            <w:r/>
          </w:p>
        </w:tc>
        <w:tc>
          <w:tcPr>
            <w:tcW w:type="dxa" w:w="2880"/>
            <w:vAlign w:val="center"/>
            <w:tcMar>
              <w:top w:w="65" w:type="dxa"/>
              <w:bottom w:w="65" w:type="dxa"/>
              <w:left w:w="90" w:type="dxa"/>
              <w:right w:w="90" w:type="dxa"/>
            </w:tcMar>
            <w:shd w:fill="FFFFFF"/>
          </w:tcPr>
          <w:p>
            <w:pPr>
              <w:pStyle w:val="ToolTable"/>
            </w:pPr>
            <w:r/>
          </w:p>
        </w:tc>
      </w:tr>
      <w:tr>
        <w:trPr>
          <w:cantSplit/>
        </w:trPr>
        <w:tc>
          <w:tcPr>
            <w:tcW w:type="dxa" w:w="4752"/>
            <w:vAlign w:val="center"/>
            <w:tcMar>
              <w:top w:w="65" w:type="dxa"/>
              <w:bottom w:w="65" w:type="dxa"/>
              <w:left w:w="90" w:type="dxa"/>
              <w:right w:w="90" w:type="dxa"/>
            </w:tcMar>
            <w:shd w:fill="FFFFFF"/>
          </w:tcPr>
          <w:p>
            <w:pPr>
              <w:pStyle w:val="ToolTable"/>
            </w:pPr>
            <w:r>
              <w:t>Plus or minus documented timing items</w:t>
            </w:r>
          </w:p>
        </w:tc>
        <w:tc>
          <w:tcPr>
            <w:tcW w:type="dxa" w:w="1440"/>
            <w:vAlign w:val="center"/>
            <w:tcMar>
              <w:top w:w="65" w:type="dxa"/>
              <w:bottom w:w="65" w:type="dxa"/>
              <w:left w:w="90" w:type="dxa"/>
              <w:right w:w="90" w:type="dxa"/>
            </w:tcMar>
            <w:shd w:fill="FFFFFF"/>
          </w:tcPr>
          <w:p>
            <w:pPr>
              <w:pStyle w:val="ToolTable"/>
            </w:pPr>
            <w:r/>
          </w:p>
        </w:tc>
        <w:tc>
          <w:tcPr>
            <w:tcW w:type="dxa" w:w="2880"/>
            <w:vAlign w:val="center"/>
            <w:tcMar>
              <w:top w:w="65" w:type="dxa"/>
              <w:bottom w:w="65" w:type="dxa"/>
              <w:left w:w="90" w:type="dxa"/>
              <w:right w:w="90" w:type="dxa"/>
            </w:tcMar>
            <w:shd w:fill="FFFFFF"/>
          </w:tcPr>
          <w:p>
            <w:pPr>
              <w:pStyle w:val="ToolTable"/>
            </w:pPr>
            <w:r/>
          </w:p>
        </w:tc>
      </w:tr>
      <w:tr>
        <w:trPr>
          <w:cantSplit/>
        </w:trPr>
        <w:tc>
          <w:tcPr>
            <w:tcW w:type="dxa" w:w="4752"/>
            <w:vAlign w:val="center"/>
            <w:tcMar>
              <w:top w:w="65" w:type="dxa"/>
              <w:bottom w:w="65" w:type="dxa"/>
              <w:left w:w="90" w:type="dxa"/>
              <w:right w:w="90" w:type="dxa"/>
            </w:tcMar>
            <w:shd w:fill="FFFFFF"/>
          </w:tcPr>
          <w:p>
            <w:pPr>
              <w:pStyle w:val="ToolTable"/>
            </w:pPr>
            <w:r>
              <w:t>Plus or minus other explained items</w:t>
            </w:r>
          </w:p>
        </w:tc>
        <w:tc>
          <w:tcPr>
            <w:tcW w:type="dxa" w:w="1440"/>
            <w:vAlign w:val="center"/>
            <w:tcMar>
              <w:top w:w="65" w:type="dxa"/>
              <w:bottom w:w="65" w:type="dxa"/>
              <w:left w:w="90" w:type="dxa"/>
              <w:right w:w="90" w:type="dxa"/>
            </w:tcMar>
            <w:shd w:fill="FFFFFF"/>
          </w:tcPr>
          <w:p>
            <w:pPr>
              <w:pStyle w:val="ToolTable"/>
            </w:pPr>
            <w:r/>
          </w:p>
        </w:tc>
        <w:tc>
          <w:tcPr>
            <w:tcW w:type="dxa" w:w="2880"/>
            <w:vAlign w:val="center"/>
            <w:tcMar>
              <w:top w:w="65" w:type="dxa"/>
              <w:bottom w:w="65" w:type="dxa"/>
              <w:left w:w="90" w:type="dxa"/>
              <w:right w:w="90" w:type="dxa"/>
            </w:tcMar>
            <w:shd w:fill="FFFFFF"/>
          </w:tcPr>
          <w:p>
            <w:pPr>
              <w:pStyle w:val="ToolTable"/>
            </w:pPr>
            <w:r/>
          </w:p>
        </w:tc>
      </w:tr>
      <w:tr>
        <w:trPr>
          <w:cantSplit/>
        </w:trPr>
        <w:tc>
          <w:tcPr>
            <w:tcW w:type="dxa" w:w="4752"/>
            <w:vAlign w:val="center"/>
            <w:tcMar>
              <w:top w:w="65" w:type="dxa"/>
              <w:bottom w:w="65" w:type="dxa"/>
              <w:left w:w="90" w:type="dxa"/>
              <w:right w:w="90" w:type="dxa"/>
            </w:tcMar>
            <w:shd w:fill="FFFFFF"/>
          </w:tcPr>
          <w:p>
            <w:pPr>
              <w:pStyle w:val="ToolTable"/>
            </w:pPr>
            <w:r>
              <w:t>Expected corresponding bank deposits</w:t>
            </w:r>
          </w:p>
        </w:tc>
        <w:tc>
          <w:tcPr>
            <w:tcW w:type="dxa" w:w="1440"/>
            <w:vAlign w:val="center"/>
            <w:tcMar>
              <w:top w:w="65" w:type="dxa"/>
              <w:bottom w:w="65" w:type="dxa"/>
              <w:left w:w="90" w:type="dxa"/>
              <w:right w:w="90" w:type="dxa"/>
            </w:tcMar>
            <w:shd w:fill="FFFFFF"/>
          </w:tcPr>
          <w:p>
            <w:pPr>
              <w:pStyle w:val="ToolTable"/>
            </w:pPr>
            <w:r/>
          </w:p>
        </w:tc>
        <w:tc>
          <w:tcPr>
            <w:tcW w:type="dxa" w:w="2880"/>
            <w:vAlign w:val="center"/>
            <w:tcMar>
              <w:top w:w="65" w:type="dxa"/>
              <w:bottom w:w="65" w:type="dxa"/>
              <w:left w:w="90" w:type="dxa"/>
              <w:right w:w="90" w:type="dxa"/>
            </w:tcMar>
            <w:shd w:fill="FFFFFF"/>
          </w:tcPr>
          <w:p>
            <w:pPr>
              <w:pStyle w:val="ToolTable"/>
            </w:pPr>
            <w:r/>
          </w:p>
        </w:tc>
      </w:tr>
      <w:tr>
        <w:trPr>
          <w:cantSplit/>
        </w:trPr>
        <w:tc>
          <w:tcPr>
            <w:tcW w:type="dxa" w:w="4752"/>
            <w:vAlign w:val="center"/>
            <w:tcMar>
              <w:top w:w="65" w:type="dxa"/>
              <w:bottom w:w="65" w:type="dxa"/>
              <w:left w:w="90" w:type="dxa"/>
              <w:right w:w="90" w:type="dxa"/>
            </w:tcMar>
            <w:shd w:fill="FFFFFF"/>
          </w:tcPr>
          <w:p>
            <w:pPr>
              <w:pStyle w:val="ToolTable"/>
            </w:pPr>
            <w:r>
              <w:t>Actual corresponding bank deposits</w:t>
            </w:r>
          </w:p>
        </w:tc>
        <w:tc>
          <w:tcPr>
            <w:tcW w:type="dxa" w:w="1440"/>
            <w:vAlign w:val="center"/>
            <w:tcMar>
              <w:top w:w="65" w:type="dxa"/>
              <w:bottom w:w="65" w:type="dxa"/>
              <w:left w:w="90" w:type="dxa"/>
              <w:right w:w="90" w:type="dxa"/>
            </w:tcMar>
            <w:shd w:fill="FFFFFF"/>
          </w:tcPr>
          <w:p>
            <w:pPr>
              <w:pStyle w:val="ToolTable"/>
            </w:pPr>
            <w:r/>
          </w:p>
        </w:tc>
        <w:tc>
          <w:tcPr>
            <w:tcW w:type="dxa" w:w="2880"/>
            <w:vAlign w:val="center"/>
            <w:tcMar>
              <w:top w:w="65" w:type="dxa"/>
              <w:bottom w:w="65" w:type="dxa"/>
              <w:left w:w="90" w:type="dxa"/>
              <w:right w:w="90" w:type="dxa"/>
            </w:tcMar>
            <w:shd w:fill="FFFFFF"/>
          </w:tcPr>
          <w:p>
            <w:pPr>
              <w:pStyle w:val="ToolTable"/>
            </w:pPr>
            <w:r/>
          </w:p>
        </w:tc>
      </w:tr>
      <w:tr>
        <w:trPr>
          <w:cantSplit/>
        </w:trPr>
        <w:tc>
          <w:tcPr>
            <w:tcW w:type="dxa" w:w="4752"/>
            <w:vAlign w:val="center"/>
            <w:tcMar>
              <w:top w:w="65" w:type="dxa"/>
              <w:bottom w:w="65" w:type="dxa"/>
              <w:left w:w="90" w:type="dxa"/>
              <w:right w:w="90" w:type="dxa"/>
            </w:tcMar>
            <w:shd w:fill="FFFFFF"/>
          </w:tcPr>
          <w:p>
            <w:pPr>
              <w:pStyle w:val="ToolTable"/>
            </w:pPr>
            <w:r>
              <w:t>Unexplained difference</w:t>
            </w:r>
          </w:p>
        </w:tc>
        <w:tc>
          <w:tcPr>
            <w:tcW w:type="dxa" w:w="1440"/>
            <w:vAlign w:val="center"/>
            <w:tcMar>
              <w:top w:w="65" w:type="dxa"/>
              <w:bottom w:w="65" w:type="dxa"/>
              <w:left w:w="90" w:type="dxa"/>
              <w:right w:w="90" w:type="dxa"/>
            </w:tcMar>
            <w:shd w:fill="FFFFFF"/>
          </w:tcPr>
          <w:p>
            <w:pPr>
              <w:pStyle w:val="ToolTable"/>
            </w:pPr>
            <w:r/>
          </w:p>
        </w:tc>
        <w:tc>
          <w:tcPr>
            <w:tcW w:type="dxa" w:w="2880"/>
            <w:vAlign w:val="center"/>
            <w:tcMar>
              <w:top w:w="65" w:type="dxa"/>
              <w:bottom w:w="65" w:type="dxa"/>
              <w:left w:w="90" w:type="dxa"/>
              <w:right w:w="90" w:type="dxa"/>
            </w:tcMar>
            <w:shd w:fill="FFFFFF"/>
          </w:tcPr>
          <w:p>
            <w:pPr>
              <w:pStyle w:val="ToolTable"/>
            </w:pPr>
            <w:r/>
          </w:p>
        </w:tc>
      </w:tr>
    </w:tbl>
    <w:p>
      <w:pPr>
        <w:pStyle w:val="ToolBody"/>
        <w:spacing w:after="20"/>
      </w:pPr>
    </w:p>
    <w:p>
      <w:pPr>
        <w:pStyle w:val="ToolField"/>
      </w:pPr>
      <w:r>
        <w:rPr>
          <w:b/>
        </w:rPr>
        <w:t>Entities, providers, locations, period, and report settings included</w:t>
        <w:br/>
      </w:r>
      <w:r>
        <w:t>__________________________________________________________________</w:t>
      </w:r>
    </w:p>
    <w:p>
      <w:pPr>
        <w:pStyle w:val="ToolField"/>
      </w:pPr>
      <w:r>
        <w:rPr>
          <w:b/>
        </w:rPr>
        <w:t>Supporting evidence for each reconciling item</w:t>
        <w:br/>
      </w:r>
      <w:r>
        <w:t>__________________________________________________________________</w:t>
      </w:r>
    </w:p>
    <w:p>
      <w:pPr>
        <w:pStyle w:val="ToolHeading"/>
      </w:pPr>
      <w:r>
        <w:t>Buyer forecast</w:t>
      </w:r>
    </w:p>
    <w:p>
      <w:pPr>
        <w:pStyle w:val="ToolField"/>
      </w:pPr>
      <w:r>
        <w:rPr>
          <w:b/>
        </w:rPr>
        <w:t>Supported historical collections</w:t>
        <w:br/>
      </w:r>
      <w:r>
        <w:t>__________________________________________________________________</w:t>
      </w:r>
    </w:p>
    <w:p>
      <w:pPr>
        <w:pStyle w:val="ToolField"/>
      </w:pPr>
      <w:r>
        <w:rPr>
          <w:b/>
        </w:rPr>
        <w:t>Collections removed or changed and the reason</w:t>
        <w:br/>
      </w:r>
      <w:r>
        <w:t>__________________________________________________________________</w:t>
      </w:r>
    </w:p>
    <w:p>
      <w:pPr>
        <w:pStyle w:val="ToolField"/>
      </w:pPr>
      <w:r>
        <w:rPr>
          <w:b/>
        </w:rPr>
        <w:t>Supported buyer collections and the conditions required</w:t>
        <w:br/>
      </w:r>
      <w:r>
        <w:t>__________________________________________________________________</w:t>
      </w:r>
    </w:p>
    <w:p>
      <w:pPr>
        <w:pStyle w:val="ToolBody"/>
      </w:pPr>
      <w:r>
        <w:t>Maple Street example: $100,000 monthly historical collections − $6,000 unsupported procedure stream = $94,000 buyer collections. The historical records reconcile in the teaching case. That does not prove that all of the historical work transfers.</w:t>
      </w:r>
    </w:p>
    <w:p>
      <w:pPr>
        <w:pStyle w:val="ToolBody"/>
      </w:pPr>
      <w:r>
        <w:t>The unexplained difference must remain visible. Do not create a miscellaneous adjustment merely to force the reports to agree.</w:t>
      </w:r>
    </w:p>
    <w:p>
      <w:pPr>
        <w:pStyle w:val="ToolTitle"/>
        <w:pageBreakBefore/>
      </w:pPr>
      <w:r>
        <w:t>Tool 7 Buyer operating model</w:t>
      </w:r>
    </w:p>
    <w:p>
      <w:pPr>
        <w:pStyle w:val="ToolReference"/>
      </w:pPr>
      <w:r>
        <w:t>Chapters 12 and 15</w:t>
      </w:r>
    </w:p>
    <w:p>
      <w:pPr>
        <w:pStyle w:val="ToolBody"/>
      </w:pPr>
      <w:r>
        <w:t>This is a manual planning worksheet. Use monthly dollars throughout, keep original reports intact, and have the CPA reconcile the result to the financial statements. Refer to Chapter 12 for the full Maple Street assumptions.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472"/>
        <w:gridCol w:w="1872"/>
        <w:gridCol w:w="1728"/>
      </w:tblGrid>
      <w:tr>
        <w:trPr>
          <w:cantSplit/>
          <w:tblHeader/>
        </w:trPr>
        <w:tc>
          <w:tcPr>
            <w:tcW w:type="dxa" w:w="5472"/>
            <w:vAlign w:val="center"/>
            <w:tcMar>
              <w:top w:w="65" w:type="dxa"/>
              <w:bottom w:w="65" w:type="dxa"/>
              <w:left w:w="90" w:type="dxa"/>
              <w:right w:w="90" w:type="dxa"/>
            </w:tcMar>
            <w:shd w:fill="E5E7EB"/>
          </w:tcPr>
          <w:p>
            <w:pPr>
              <w:pStyle w:val="ToolTable"/>
            </w:pPr>
            <w:r>
              <w:rPr>
                <w:b/>
              </w:rPr>
              <w:t>Monthly line</w:t>
            </w:r>
          </w:p>
        </w:tc>
        <w:tc>
          <w:tcPr>
            <w:tcW w:type="dxa" w:w="1872"/>
            <w:vAlign w:val="center"/>
            <w:tcMar>
              <w:top w:w="65" w:type="dxa"/>
              <w:bottom w:w="65" w:type="dxa"/>
              <w:left w:w="90" w:type="dxa"/>
              <w:right w:w="90" w:type="dxa"/>
            </w:tcMar>
            <w:shd w:fill="E5E7EB"/>
          </w:tcPr>
          <w:p>
            <w:pPr>
              <w:pStyle w:val="ToolTable"/>
            </w:pPr>
            <w:r>
              <w:rPr>
                <w:b/>
              </w:rPr>
              <w:t>Maple Street</w:t>
            </w:r>
          </w:p>
        </w:tc>
        <w:tc>
          <w:tcPr>
            <w:tcW w:type="dxa" w:w="1728"/>
            <w:vAlign w:val="center"/>
            <w:tcMar>
              <w:top w:w="65" w:type="dxa"/>
              <w:bottom w:w="65" w:type="dxa"/>
              <w:left w:w="90" w:type="dxa"/>
              <w:right w:w="90" w:type="dxa"/>
            </w:tcMar>
            <w:shd w:fill="E5E7EB"/>
          </w:tcPr>
          <w:p>
            <w:pPr>
              <w:pStyle w:val="ToolTable"/>
            </w:pPr>
            <w:r>
              <w:rPr>
                <w:b/>
              </w:rPr>
              <w:t>Your practice</w:t>
            </w:r>
          </w:p>
        </w:tc>
      </w:tr>
      <w:tr>
        <w:trPr>
          <w:cantSplit/>
        </w:trPr>
        <w:tc>
          <w:tcPr>
            <w:tcW w:type="dxa" w:w="5472"/>
            <w:vAlign w:val="center"/>
            <w:tcMar>
              <w:top w:w="65" w:type="dxa"/>
              <w:bottom w:w="65" w:type="dxa"/>
              <w:left w:w="90" w:type="dxa"/>
              <w:right w:w="90" w:type="dxa"/>
            </w:tcMar>
            <w:shd w:fill="FFFFFF"/>
          </w:tcPr>
          <w:p>
            <w:pPr>
              <w:pStyle w:val="ToolTable"/>
            </w:pPr>
            <w:r>
              <w:t>Supported collections</w:t>
            </w:r>
          </w:p>
        </w:tc>
        <w:tc>
          <w:tcPr>
            <w:tcW w:type="dxa" w:w="1872"/>
            <w:vAlign w:val="center"/>
            <w:tcMar>
              <w:top w:w="65" w:type="dxa"/>
              <w:bottom w:w="65" w:type="dxa"/>
              <w:left w:w="90" w:type="dxa"/>
              <w:right w:w="90" w:type="dxa"/>
            </w:tcMar>
            <w:shd w:fill="FFFFFF"/>
          </w:tcPr>
          <w:p>
            <w:pPr>
              <w:pStyle w:val="ToolTable"/>
              <w:jc w:val="right"/>
            </w:pPr>
            <w:r>
              <w:t>$94,000</w:t>
            </w:r>
          </w:p>
        </w:tc>
        <w:tc>
          <w:tcPr>
            <w:tcW w:type="dxa" w:w="1728"/>
            <w:vAlign w:val="center"/>
            <w:tcMar>
              <w:top w:w="65" w:type="dxa"/>
              <w:bottom w:w="65" w:type="dxa"/>
              <w:left w:w="90" w:type="dxa"/>
              <w:right w:w="90" w:type="dxa"/>
            </w:tcMar>
            <w:shd w:fill="FFFFFF"/>
          </w:tcPr>
          <w:p>
            <w:pPr>
              <w:pStyle w:val="ToolTable"/>
            </w:pPr>
            <w:r/>
          </w:p>
        </w:tc>
      </w:tr>
      <w:tr>
        <w:trPr>
          <w:cantSplit/>
        </w:trPr>
        <w:tc>
          <w:tcPr>
            <w:tcW w:type="dxa" w:w="5472"/>
            <w:vAlign w:val="center"/>
            <w:tcMar>
              <w:top w:w="65" w:type="dxa"/>
              <w:bottom w:w="65" w:type="dxa"/>
              <w:left w:w="90" w:type="dxa"/>
              <w:right w:w="90" w:type="dxa"/>
            </w:tcMar>
            <w:shd w:fill="FFFFFF"/>
          </w:tcPr>
          <w:p>
            <w:pPr>
              <w:pStyle w:val="ToolTable"/>
            </w:pPr>
            <w:r>
              <w:t>Operating costs before clinical labor and debt</w:t>
            </w:r>
          </w:p>
        </w:tc>
        <w:tc>
          <w:tcPr>
            <w:tcW w:type="dxa" w:w="1872"/>
            <w:vAlign w:val="center"/>
            <w:tcMar>
              <w:top w:w="65" w:type="dxa"/>
              <w:bottom w:w="65" w:type="dxa"/>
              <w:left w:w="90" w:type="dxa"/>
              <w:right w:w="90" w:type="dxa"/>
            </w:tcMar>
            <w:shd w:fill="FFFFFF"/>
          </w:tcPr>
          <w:p>
            <w:pPr>
              <w:pStyle w:val="ToolTable"/>
              <w:jc w:val="right"/>
            </w:pPr>
            <w:r>
              <w:t>$63,200</w:t>
            </w:r>
          </w:p>
        </w:tc>
        <w:tc>
          <w:tcPr>
            <w:tcW w:type="dxa" w:w="1728"/>
            <w:vAlign w:val="center"/>
            <w:tcMar>
              <w:top w:w="65" w:type="dxa"/>
              <w:bottom w:w="65" w:type="dxa"/>
              <w:left w:w="90" w:type="dxa"/>
              <w:right w:w="90" w:type="dxa"/>
            </w:tcMar>
            <w:shd w:fill="FFFFFF"/>
          </w:tcPr>
          <w:p>
            <w:pPr>
              <w:pStyle w:val="ToolTable"/>
            </w:pPr>
            <w:r/>
          </w:p>
        </w:tc>
      </w:tr>
      <w:tr>
        <w:trPr>
          <w:cantSplit/>
        </w:trPr>
        <w:tc>
          <w:tcPr>
            <w:tcW w:type="dxa" w:w="5472"/>
            <w:vAlign w:val="center"/>
            <w:tcMar>
              <w:top w:w="65" w:type="dxa"/>
              <w:bottom w:w="65" w:type="dxa"/>
              <w:left w:w="90" w:type="dxa"/>
              <w:right w:w="90" w:type="dxa"/>
            </w:tcMar>
            <w:shd w:fill="FFFFFF"/>
          </w:tcPr>
          <w:p>
            <w:pPr>
              <w:pStyle w:val="ToolTable"/>
            </w:pPr>
            <w:r>
              <w:t>Clinical labor allowance including modeled burden</w:t>
            </w:r>
          </w:p>
        </w:tc>
        <w:tc>
          <w:tcPr>
            <w:tcW w:type="dxa" w:w="1872"/>
            <w:vAlign w:val="center"/>
            <w:tcMar>
              <w:top w:w="65" w:type="dxa"/>
              <w:bottom w:w="65" w:type="dxa"/>
              <w:left w:w="90" w:type="dxa"/>
              <w:right w:w="90" w:type="dxa"/>
            </w:tcMar>
            <w:shd w:fill="FFFFFF"/>
          </w:tcPr>
          <w:p>
            <w:pPr>
              <w:pStyle w:val="ToolTable"/>
              <w:jc w:val="right"/>
            </w:pPr>
            <w:r>
              <w:t>$20,000</w:t>
            </w:r>
          </w:p>
        </w:tc>
        <w:tc>
          <w:tcPr>
            <w:tcW w:type="dxa" w:w="1728"/>
            <w:vAlign w:val="center"/>
            <w:tcMar>
              <w:top w:w="65" w:type="dxa"/>
              <w:bottom w:w="65" w:type="dxa"/>
              <w:left w:w="90" w:type="dxa"/>
              <w:right w:w="90" w:type="dxa"/>
            </w:tcMar>
            <w:shd w:fill="FFFFFF"/>
          </w:tcPr>
          <w:p>
            <w:pPr>
              <w:pStyle w:val="ToolTable"/>
            </w:pPr>
            <w:r/>
          </w:p>
        </w:tc>
      </w:tr>
      <w:tr>
        <w:trPr>
          <w:cantSplit/>
        </w:trPr>
        <w:tc>
          <w:tcPr>
            <w:tcW w:type="dxa" w:w="5472"/>
            <w:vAlign w:val="center"/>
            <w:tcMar>
              <w:top w:w="65" w:type="dxa"/>
              <w:bottom w:w="65" w:type="dxa"/>
              <w:left w:w="90" w:type="dxa"/>
              <w:right w:w="90" w:type="dxa"/>
            </w:tcMar>
            <w:shd w:fill="FFFFFF"/>
          </w:tcPr>
          <w:p>
            <w:pPr>
              <w:pStyle w:val="ToolTable"/>
            </w:pPr>
            <w:r>
              <w:t>Operating balance before debt</w:t>
            </w:r>
          </w:p>
        </w:tc>
        <w:tc>
          <w:tcPr>
            <w:tcW w:type="dxa" w:w="1872"/>
            <w:vAlign w:val="center"/>
            <w:tcMar>
              <w:top w:w="65" w:type="dxa"/>
              <w:bottom w:w="65" w:type="dxa"/>
              <w:left w:w="90" w:type="dxa"/>
              <w:right w:w="90" w:type="dxa"/>
            </w:tcMar>
            <w:shd w:fill="FFFFFF"/>
          </w:tcPr>
          <w:p>
            <w:pPr>
              <w:pStyle w:val="ToolTable"/>
              <w:jc w:val="right"/>
            </w:pPr>
            <w:r>
              <w:t>$10,800</w:t>
            </w:r>
          </w:p>
        </w:tc>
        <w:tc>
          <w:tcPr>
            <w:tcW w:type="dxa" w:w="1728"/>
            <w:vAlign w:val="center"/>
            <w:tcMar>
              <w:top w:w="65" w:type="dxa"/>
              <w:bottom w:w="65" w:type="dxa"/>
              <w:left w:w="90" w:type="dxa"/>
              <w:right w:w="90" w:type="dxa"/>
            </w:tcMar>
            <w:shd w:fill="FFFFFF"/>
          </w:tcPr>
          <w:p>
            <w:pPr>
              <w:pStyle w:val="ToolTable"/>
            </w:pPr>
            <w:r/>
          </w:p>
        </w:tc>
      </w:tr>
      <w:tr>
        <w:trPr>
          <w:cantSplit/>
        </w:trPr>
        <w:tc>
          <w:tcPr>
            <w:tcW w:type="dxa" w:w="5472"/>
            <w:vAlign w:val="center"/>
            <w:tcMar>
              <w:top w:w="65" w:type="dxa"/>
              <w:bottom w:w="65" w:type="dxa"/>
              <w:left w:w="90" w:type="dxa"/>
              <w:right w:w="90" w:type="dxa"/>
            </w:tcMar>
            <w:shd w:fill="FFFFFF"/>
          </w:tcPr>
          <w:p>
            <w:pPr>
              <w:pStyle w:val="ToolTable"/>
            </w:pPr>
            <w:r>
              <w:t>Full purchase debt payment</w:t>
            </w:r>
          </w:p>
        </w:tc>
        <w:tc>
          <w:tcPr>
            <w:tcW w:type="dxa" w:w="1872"/>
            <w:vAlign w:val="center"/>
            <w:tcMar>
              <w:top w:w="65" w:type="dxa"/>
              <w:bottom w:w="65" w:type="dxa"/>
              <w:left w:w="90" w:type="dxa"/>
              <w:right w:w="90" w:type="dxa"/>
            </w:tcMar>
            <w:shd w:fill="FFFFFF"/>
          </w:tcPr>
          <w:p>
            <w:pPr>
              <w:pStyle w:val="ToolTable"/>
              <w:jc w:val="right"/>
            </w:pPr>
            <w:r>
              <w:t>$8,492.93</w:t>
            </w:r>
          </w:p>
        </w:tc>
        <w:tc>
          <w:tcPr>
            <w:tcW w:type="dxa" w:w="1728"/>
            <w:vAlign w:val="center"/>
            <w:tcMar>
              <w:top w:w="65" w:type="dxa"/>
              <w:bottom w:w="65" w:type="dxa"/>
              <w:left w:w="90" w:type="dxa"/>
              <w:right w:w="90" w:type="dxa"/>
            </w:tcMar>
            <w:shd w:fill="FFFFFF"/>
          </w:tcPr>
          <w:p>
            <w:pPr>
              <w:pStyle w:val="ToolTable"/>
            </w:pPr>
            <w:r/>
          </w:p>
        </w:tc>
      </w:tr>
      <w:tr>
        <w:trPr>
          <w:cantSplit/>
        </w:trPr>
        <w:tc>
          <w:tcPr>
            <w:tcW w:type="dxa" w:w="5472"/>
            <w:vAlign w:val="center"/>
            <w:tcMar>
              <w:top w:w="65" w:type="dxa"/>
              <w:bottom w:w="65" w:type="dxa"/>
              <w:left w:w="90" w:type="dxa"/>
              <w:right w:w="90" w:type="dxa"/>
            </w:tcMar>
            <w:shd w:fill="FFFFFF"/>
          </w:tcPr>
          <w:p>
            <w:pPr>
              <w:pStyle w:val="ToolTable"/>
            </w:pPr>
            <w:r>
              <w:t>Cash before capital and tax provisions</w:t>
            </w:r>
          </w:p>
        </w:tc>
        <w:tc>
          <w:tcPr>
            <w:tcW w:type="dxa" w:w="1872"/>
            <w:vAlign w:val="center"/>
            <w:tcMar>
              <w:top w:w="65" w:type="dxa"/>
              <w:bottom w:w="65" w:type="dxa"/>
              <w:left w:w="90" w:type="dxa"/>
              <w:right w:w="90" w:type="dxa"/>
            </w:tcMar>
            <w:shd w:fill="FFFFFF"/>
          </w:tcPr>
          <w:p>
            <w:pPr>
              <w:pStyle w:val="ToolTable"/>
              <w:jc w:val="right"/>
            </w:pPr>
            <w:r>
              <w:t>$2,307.07</w:t>
            </w:r>
          </w:p>
        </w:tc>
        <w:tc>
          <w:tcPr>
            <w:tcW w:type="dxa" w:w="1728"/>
            <w:vAlign w:val="center"/>
            <w:tcMar>
              <w:top w:w="65" w:type="dxa"/>
              <w:bottom w:w="65" w:type="dxa"/>
              <w:left w:w="90" w:type="dxa"/>
              <w:right w:w="90" w:type="dxa"/>
            </w:tcMar>
            <w:shd w:fill="FFFFFF"/>
          </w:tcPr>
          <w:p>
            <w:pPr>
              <w:pStyle w:val="ToolTable"/>
            </w:pPr>
            <w:r/>
          </w:p>
        </w:tc>
      </w:tr>
      <w:tr>
        <w:trPr>
          <w:cantSplit/>
        </w:trPr>
        <w:tc>
          <w:tcPr>
            <w:tcW w:type="dxa" w:w="5472"/>
            <w:vAlign w:val="center"/>
            <w:tcMar>
              <w:top w:w="65" w:type="dxa"/>
              <w:bottom w:w="65" w:type="dxa"/>
              <w:left w:w="90" w:type="dxa"/>
              <w:right w:w="90" w:type="dxa"/>
            </w:tcMar>
            <w:shd w:fill="FFFFFF"/>
          </w:tcPr>
          <w:p>
            <w:pPr>
              <w:pStyle w:val="ToolTable"/>
            </w:pPr>
            <w:r>
              <w:t>Equipment provision</w:t>
            </w:r>
          </w:p>
        </w:tc>
        <w:tc>
          <w:tcPr>
            <w:tcW w:type="dxa" w:w="1872"/>
            <w:vAlign w:val="center"/>
            <w:tcMar>
              <w:top w:w="65" w:type="dxa"/>
              <w:bottom w:w="65" w:type="dxa"/>
              <w:left w:w="90" w:type="dxa"/>
              <w:right w:w="90" w:type="dxa"/>
            </w:tcMar>
            <w:shd w:fill="FFFFFF"/>
          </w:tcPr>
          <w:p>
            <w:pPr>
              <w:pStyle w:val="ToolTable"/>
              <w:jc w:val="right"/>
            </w:pPr>
            <w:r>
              <w:t>$1,500</w:t>
            </w:r>
          </w:p>
        </w:tc>
        <w:tc>
          <w:tcPr>
            <w:tcW w:type="dxa" w:w="1728"/>
            <w:vAlign w:val="center"/>
            <w:tcMar>
              <w:top w:w="65" w:type="dxa"/>
              <w:bottom w:w="65" w:type="dxa"/>
              <w:left w:w="90" w:type="dxa"/>
              <w:right w:w="90" w:type="dxa"/>
            </w:tcMar>
            <w:shd w:fill="FFFFFF"/>
          </w:tcPr>
          <w:p>
            <w:pPr>
              <w:pStyle w:val="ToolTable"/>
            </w:pPr>
            <w:r/>
          </w:p>
        </w:tc>
      </w:tr>
      <w:tr>
        <w:trPr>
          <w:cantSplit/>
        </w:trPr>
        <w:tc>
          <w:tcPr>
            <w:tcW w:type="dxa" w:w="5472"/>
            <w:vAlign w:val="center"/>
            <w:tcMar>
              <w:top w:w="65" w:type="dxa"/>
              <w:bottom w:w="65" w:type="dxa"/>
              <w:left w:w="90" w:type="dxa"/>
              <w:right w:w="90" w:type="dxa"/>
            </w:tcMar>
            <w:shd w:fill="FFFFFF"/>
          </w:tcPr>
          <w:p>
            <w:pPr>
              <w:pStyle w:val="ToolTable"/>
            </w:pPr>
            <w:r>
              <w:t>Additional tax provision</w:t>
            </w:r>
          </w:p>
        </w:tc>
        <w:tc>
          <w:tcPr>
            <w:tcW w:type="dxa" w:w="1872"/>
            <w:vAlign w:val="center"/>
            <w:tcMar>
              <w:top w:w="65" w:type="dxa"/>
              <w:bottom w:w="65" w:type="dxa"/>
              <w:left w:w="90" w:type="dxa"/>
              <w:right w:w="90" w:type="dxa"/>
            </w:tcMar>
            <w:shd w:fill="FFFFFF"/>
          </w:tcPr>
          <w:p>
            <w:pPr>
              <w:pStyle w:val="ToolTable"/>
              <w:jc w:val="right"/>
            </w:pPr>
            <w:r>
              <w:t>$1,000</w:t>
            </w:r>
          </w:p>
        </w:tc>
        <w:tc>
          <w:tcPr>
            <w:tcW w:type="dxa" w:w="1728"/>
            <w:vAlign w:val="center"/>
            <w:tcMar>
              <w:top w:w="65" w:type="dxa"/>
              <w:bottom w:w="65" w:type="dxa"/>
              <w:left w:w="90" w:type="dxa"/>
              <w:right w:w="90" w:type="dxa"/>
            </w:tcMar>
            <w:shd w:fill="FFFFFF"/>
          </w:tcPr>
          <w:p>
            <w:pPr>
              <w:pStyle w:val="ToolTable"/>
            </w:pPr>
            <w:r/>
          </w:p>
        </w:tc>
      </w:tr>
      <w:tr>
        <w:trPr>
          <w:cantSplit/>
        </w:trPr>
        <w:tc>
          <w:tcPr>
            <w:tcW w:type="dxa" w:w="5472"/>
            <w:vAlign w:val="center"/>
            <w:tcMar>
              <w:top w:w="65" w:type="dxa"/>
              <w:bottom w:w="65" w:type="dxa"/>
              <w:left w:w="90" w:type="dxa"/>
              <w:right w:w="90" w:type="dxa"/>
            </w:tcMar>
            <w:shd w:fill="FFFFFF"/>
          </w:tcPr>
          <w:p>
            <w:pPr>
              <w:pStyle w:val="ToolTable"/>
            </w:pPr>
            <w:r>
              <w:t>Balance after provisions</w:t>
            </w:r>
          </w:p>
        </w:tc>
        <w:tc>
          <w:tcPr>
            <w:tcW w:type="dxa" w:w="1872"/>
            <w:vAlign w:val="center"/>
            <w:tcMar>
              <w:top w:w="65" w:type="dxa"/>
              <w:bottom w:w="65" w:type="dxa"/>
              <w:left w:w="90" w:type="dxa"/>
              <w:right w:w="90" w:type="dxa"/>
            </w:tcMar>
            <w:shd w:fill="FFFFFF"/>
          </w:tcPr>
          <w:p>
            <w:pPr>
              <w:pStyle w:val="ToolTable"/>
              <w:jc w:val="right"/>
            </w:pPr>
            <w:r>
              <w:t>($192.93)</w:t>
            </w:r>
          </w:p>
        </w:tc>
        <w:tc>
          <w:tcPr>
            <w:tcW w:type="dxa" w:w="1728"/>
            <w:vAlign w:val="center"/>
            <w:tcMar>
              <w:top w:w="65" w:type="dxa"/>
              <w:bottom w:w="65" w:type="dxa"/>
              <w:left w:w="90" w:type="dxa"/>
              <w:right w:w="90" w:type="dxa"/>
            </w:tcMar>
            <w:shd w:fill="FFFFFF"/>
          </w:tcPr>
          <w:p>
            <w:pPr>
              <w:pStyle w:val="ToolTable"/>
            </w:pPr>
            <w:r/>
          </w:p>
        </w:tc>
      </w:tr>
    </w:tbl>
    <w:p>
      <w:pPr>
        <w:pStyle w:val="ToolBody"/>
        <w:spacing w:after="20"/>
      </w:pPr>
    </w:p>
    <w:p>
      <w:pPr>
        <w:pStyle w:val="ToolField"/>
      </w:pPr>
      <w:r>
        <w:rPr>
          <w:b/>
        </w:rPr>
        <w:t>Source, timing, and condition for each buyer adjustment</w:t>
        <w:br/>
      </w:r>
      <w:r>
        <w:t>__________________________________________________________________</w:t>
      </w:r>
    </w:p>
    <w:p>
      <w:pPr>
        <w:pStyle w:val="ToolField"/>
      </w:pPr>
      <w:r>
        <w:rPr>
          <w:b/>
        </w:rPr>
        <w:t>Management labor cost and where it is already included</w:t>
        <w:br/>
      </w:r>
      <w:r>
        <w:t>__________________________________________________________________</w:t>
      </w:r>
    </w:p>
    <w:p>
      <w:pPr>
        <w:pStyle w:val="ToolField"/>
      </w:pPr>
      <w:r>
        <w:rPr>
          <w:b/>
        </w:rPr>
        <w:t>Accounting basis and noncash items excluded from this model</w:t>
        <w:br/>
      </w:r>
      <w:r>
        <w:t>__________________________________________________________________</w:t>
      </w:r>
    </w:p>
    <w:p>
      <w:pPr>
        <w:pStyle w:val="ToolField"/>
      </w:pPr>
      <w:r>
        <w:rPr>
          <w:b/>
        </w:rPr>
        <w:t>Actual tax calculation reference and overlap check</w:t>
        <w:br/>
      </w:r>
      <w:r>
        <w:t>__________________________________________________________________</w:t>
      </w:r>
    </w:p>
    <w:p>
      <w:pPr>
        <w:pStyle w:val="ToolBody"/>
      </w:pPr>
      <w:r>
        <w:t>Subtract the full loan payment here because the starting operating costs exclude both principal and interest. If you start with accounting profit that already deducts interest, reconcile it before applying this layout. An economic clinical allowance is not the owner’s after-tax take-home pay.</w:t>
      </w:r>
    </w:p>
    <w:p>
      <w:pPr>
        <w:pStyle w:val="ToolBody"/>
      </w:pPr>
      <w:r>
        <w:t>The $1,000 tax provision is stipulated solely for the example. Do not copy it into a live forecast. Equipment reserves and tax provisions reduce available distributions; earmarking money is not itself a tax deduction.</w:t>
      </w:r>
    </w:p>
    <w:p>
      <w:pPr>
        <w:pStyle w:val="ToolTitle"/>
        <w:pageBreakBefore/>
      </w:pPr>
      <w:r>
        <w:t>Tool 8 Operating evidence and downside</w:t>
      </w:r>
    </w:p>
    <w:p>
      <w:pPr>
        <w:pStyle w:val="ToolReference"/>
      </w:pPr>
      <w:r>
        <w:t>Chapters 13 and 15</w:t>
      </w:r>
    </w:p>
    <w:p>
      <w:pPr>
        <w:pStyle w:val="ToolBody"/>
      </w:pPr>
      <w:r>
        <w:t>Choose the three findings most likely to change this purchase. Tie each downside to a practice-specific exposure, not a generic pessimism percentage.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4"/>
        <w:gridCol w:w="2304"/>
        <w:gridCol w:w="2592"/>
        <w:gridCol w:w="2232"/>
      </w:tblGrid>
      <w:tr>
        <w:trPr>
          <w:cantSplit/>
          <w:tblHeader/>
        </w:trPr>
        <w:tc>
          <w:tcPr>
            <w:tcW w:type="dxa" w:w="1944"/>
            <w:vAlign w:val="center"/>
            <w:tcMar>
              <w:top w:w="65" w:type="dxa"/>
              <w:bottom w:w="65" w:type="dxa"/>
              <w:left w:w="90" w:type="dxa"/>
              <w:right w:w="90" w:type="dxa"/>
            </w:tcMar>
            <w:shd w:fill="E5E7EB"/>
          </w:tcPr>
          <w:p>
            <w:pPr>
              <w:pStyle w:val="ToolTable"/>
            </w:pPr>
            <w:r>
              <w:rPr>
                <w:b/>
              </w:rPr>
              <w:t>Metric or concern</w:t>
            </w:r>
          </w:p>
        </w:tc>
        <w:tc>
          <w:tcPr>
            <w:tcW w:type="dxa" w:w="2304"/>
            <w:vAlign w:val="center"/>
            <w:tcMar>
              <w:top w:w="65" w:type="dxa"/>
              <w:bottom w:w="65" w:type="dxa"/>
              <w:left w:w="90" w:type="dxa"/>
              <w:right w:w="90" w:type="dxa"/>
            </w:tcMar>
            <w:shd w:fill="E5E7EB"/>
          </w:tcPr>
          <w:p>
            <w:pPr>
              <w:pStyle w:val="ToolTable"/>
            </w:pPr>
            <w:r>
              <w:rPr>
                <w:b/>
              </w:rPr>
              <w:t>Definition and period</w:t>
            </w:r>
          </w:p>
        </w:tc>
        <w:tc>
          <w:tcPr>
            <w:tcW w:type="dxa" w:w="2592"/>
            <w:vAlign w:val="center"/>
            <w:tcMar>
              <w:top w:w="65" w:type="dxa"/>
              <w:bottom w:w="65" w:type="dxa"/>
              <w:left w:w="90" w:type="dxa"/>
              <w:right w:w="90" w:type="dxa"/>
            </w:tcMar>
            <w:shd w:fill="E5E7EB"/>
          </w:tcPr>
          <w:p>
            <w:pPr>
              <w:pStyle w:val="ToolTable"/>
            </w:pPr>
            <w:r>
              <w:rPr>
                <w:b/>
              </w:rPr>
              <w:t>Evidence needed</w:t>
            </w:r>
          </w:p>
        </w:tc>
        <w:tc>
          <w:tcPr>
            <w:tcW w:type="dxa" w:w="2232"/>
            <w:vAlign w:val="center"/>
            <w:tcMar>
              <w:top w:w="65" w:type="dxa"/>
              <w:bottom w:w="65" w:type="dxa"/>
              <w:left w:w="90" w:type="dxa"/>
              <w:right w:w="90" w:type="dxa"/>
            </w:tcMar>
            <w:shd w:fill="E5E7EB"/>
          </w:tcPr>
          <w:p>
            <w:pPr>
              <w:pStyle w:val="ToolTable"/>
            </w:pPr>
            <w:r>
              <w:rPr>
                <w:b/>
              </w:rPr>
              <w:t>Cash or capacity effect</w:t>
            </w:r>
          </w:p>
        </w:tc>
      </w:tr>
      <w:tr>
        <w:trPr>
          <w:cantSplit/>
        </w:trPr>
        <w:tc>
          <w:tcPr>
            <w:tcW w:type="dxa" w:w="1944"/>
            <w:vAlign w:val="center"/>
            <w:tcMar>
              <w:top w:w="65" w:type="dxa"/>
              <w:bottom w:w="65" w:type="dxa"/>
              <w:left w:w="90" w:type="dxa"/>
              <w:right w:w="90" w:type="dxa"/>
            </w:tcMar>
            <w:shd w:fill="FFFFFF"/>
          </w:tcPr>
          <w:p>
            <w:pPr>
              <w:pStyle w:val="ToolTable"/>
            </w:pPr>
            <w:r/>
          </w:p>
        </w:tc>
        <w:tc>
          <w:tcPr>
            <w:tcW w:type="dxa" w:w="2304"/>
            <w:vAlign w:val="center"/>
            <w:tcMar>
              <w:top w:w="65" w:type="dxa"/>
              <w:bottom w:w="65" w:type="dxa"/>
              <w:left w:w="90" w:type="dxa"/>
              <w:right w:w="90" w:type="dxa"/>
            </w:tcMar>
            <w:shd w:fill="FFFFFF"/>
          </w:tcPr>
          <w:p>
            <w:pPr>
              <w:pStyle w:val="ToolTable"/>
            </w:pPr>
            <w:r/>
          </w:p>
        </w:tc>
        <w:tc>
          <w:tcPr>
            <w:tcW w:type="dxa" w:w="259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r>
      <w:tr>
        <w:trPr>
          <w:cantSplit/>
        </w:trPr>
        <w:tc>
          <w:tcPr>
            <w:tcW w:type="dxa" w:w="1944"/>
            <w:vAlign w:val="center"/>
            <w:tcMar>
              <w:top w:w="65" w:type="dxa"/>
              <w:bottom w:w="65" w:type="dxa"/>
              <w:left w:w="90" w:type="dxa"/>
              <w:right w:w="90" w:type="dxa"/>
            </w:tcMar>
            <w:shd w:fill="FFFFFF"/>
          </w:tcPr>
          <w:p>
            <w:pPr>
              <w:pStyle w:val="ToolTable"/>
            </w:pPr>
            <w:r/>
          </w:p>
        </w:tc>
        <w:tc>
          <w:tcPr>
            <w:tcW w:type="dxa" w:w="2304"/>
            <w:vAlign w:val="center"/>
            <w:tcMar>
              <w:top w:w="65" w:type="dxa"/>
              <w:bottom w:w="65" w:type="dxa"/>
              <w:left w:w="90" w:type="dxa"/>
              <w:right w:w="90" w:type="dxa"/>
            </w:tcMar>
            <w:shd w:fill="FFFFFF"/>
          </w:tcPr>
          <w:p>
            <w:pPr>
              <w:pStyle w:val="ToolTable"/>
            </w:pPr>
            <w:r/>
          </w:p>
        </w:tc>
        <w:tc>
          <w:tcPr>
            <w:tcW w:type="dxa" w:w="259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r>
      <w:tr>
        <w:trPr>
          <w:cantSplit/>
        </w:trPr>
        <w:tc>
          <w:tcPr>
            <w:tcW w:type="dxa" w:w="1944"/>
            <w:vAlign w:val="center"/>
            <w:tcMar>
              <w:top w:w="65" w:type="dxa"/>
              <w:bottom w:w="65" w:type="dxa"/>
              <w:left w:w="90" w:type="dxa"/>
              <w:right w:w="90" w:type="dxa"/>
            </w:tcMar>
            <w:shd w:fill="FFFFFF"/>
          </w:tcPr>
          <w:p>
            <w:pPr>
              <w:pStyle w:val="ToolTable"/>
            </w:pPr>
            <w:r/>
          </w:p>
        </w:tc>
        <w:tc>
          <w:tcPr>
            <w:tcW w:type="dxa" w:w="2304"/>
            <w:vAlign w:val="center"/>
            <w:tcMar>
              <w:top w:w="65" w:type="dxa"/>
              <w:bottom w:w="65" w:type="dxa"/>
              <w:left w:w="90" w:type="dxa"/>
              <w:right w:w="90" w:type="dxa"/>
            </w:tcMar>
            <w:shd w:fill="FFFFFF"/>
          </w:tcPr>
          <w:p>
            <w:pPr>
              <w:pStyle w:val="ToolTable"/>
            </w:pPr>
            <w:r/>
          </w:p>
        </w:tc>
        <w:tc>
          <w:tcPr>
            <w:tcW w:type="dxa" w:w="259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r>
    </w:tbl>
    <w:p>
      <w:pPr>
        <w:pStyle w:val="ToolBody"/>
        <w:spacing w:after="20"/>
      </w:pPr>
    </w:p>
    <w:p>
      <w:pPr>
        <w:pStyle w:val="ToolField"/>
      </w:pPr>
      <w:r>
        <w:rPr>
          <w:b/>
        </w:rPr>
        <w:t>Base-case assumptions and source model version</w:t>
        <w:br/>
      </w:r>
      <w:r>
        <w:t>__________________________________________________________________</w:t>
      </w:r>
    </w:p>
    <w:p>
      <w:pPr>
        <w:pStyle w:val="ToolField"/>
      </w:pPr>
      <w:r>
        <w:rPr>
          <w:b/>
        </w:rPr>
        <w:t>Revenue loss and costs that actually disappear with it</w:t>
        <w:br/>
      </w:r>
      <w:r>
        <w:t>__________________________________________________________________</w:t>
      </w:r>
    </w:p>
    <w:p>
      <w:pPr>
        <w:pStyle w:val="ToolField"/>
      </w:pPr>
      <w:r>
        <w:rPr>
          <w:b/>
        </w:rPr>
        <w:t>Staffing or other expense increase and expected duration</w:t>
        <w:br/>
      </w:r>
      <w:r>
        <w:t>__________________________________________________________________</w:t>
      </w:r>
    </w:p>
    <w:p>
      <w:pPr>
        <w:pStyle w:val="ToolField"/>
      </w:pPr>
      <w:r>
        <w:rPr>
          <w:b/>
        </w:rPr>
        <w:t>Cash delayed, expected receipt week, and permitted billing path</w:t>
        <w:br/>
      </w:r>
      <w:r>
        <w:t>__________________________________________________________________</w:t>
      </w:r>
    </w:p>
    <w:p>
      <w:pPr>
        <w:pStyle w:val="ToolField"/>
      </w:pPr>
      <w:r>
        <w:rPr>
          <w:b/>
        </w:rPr>
        <w:t>One-time capital or transition payment and date</w:t>
        <w:br/>
      </w:r>
      <w:r>
        <w:t>__________________________________________________________________</w:t>
      </w:r>
    </w:p>
    <w:p>
      <w:pPr>
        <w:pStyle w:val="ToolField"/>
      </w:pPr>
      <w:r>
        <w:rPr>
          <w:b/>
        </w:rPr>
        <w:t>Combined case and checks against double counting</w:t>
        <w:br/>
      </w:r>
      <w:r>
        <w:t>__________________________________________________________________</w:t>
      </w:r>
    </w:p>
    <w:p>
      <w:pPr>
        <w:pStyle w:val="ToolField"/>
      </w:pPr>
      <w:r>
        <w:rPr>
          <w:b/>
        </w:rPr>
        <w:t>Lowest cash balance, recurring result, and practical response</w:t>
        <w:br/>
      </w:r>
      <w:r>
        <w:t>__________________________________________________________________</w:t>
      </w:r>
    </w:p>
    <w:p>
      <w:pPr>
        <w:pStyle w:val="ToolBody"/>
      </w:pPr>
      <w:r>
        <w:t>Maple Street: an additional 5 percent decline from $94,000 loses $4,700 monthly. With only $940 of expense relief, cash after clinical labor and debt becomes negative $1,452.93. This is separate from the $6,000 procedure stream already removed in the base case. A price reduction or reserve must be tested against the remaining loss, not celebrated in isolation.</w:t>
      </w:r>
    </w:p>
    <w:p>
      <w:pPr>
        <w:pStyle w:val="ToolTitle"/>
        <w:pageBreakBefore/>
      </w:pPr>
      <w:r>
        <w:t>Tool 9 Sources and uses</w:t>
      </w:r>
    </w:p>
    <w:p>
      <w:pPr>
        <w:pStyle w:val="ToolReference"/>
      </w:pPr>
      <w:r>
        <w:t>Chapter 16</w:t>
      </w:r>
    </w:p>
    <w:p>
      <w:pPr>
        <w:pStyle w:val="ToolBody"/>
      </w:pPr>
      <w:r>
        <w:t>Balance the total purchase and transition funding. Show when each source is actually accessible. Keep household reserves out of this schedule unless deliberately committed.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472"/>
        <w:gridCol w:w="1872"/>
        <w:gridCol w:w="1728"/>
      </w:tblGrid>
      <w:tr>
        <w:trPr>
          <w:cantSplit/>
          <w:tblHeader/>
        </w:trPr>
        <w:tc>
          <w:tcPr>
            <w:tcW w:type="dxa" w:w="5472"/>
            <w:vAlign w:val="center"/>
            <w:tcMar>
              <w:top w:w="65" w:type="dxa"/>
              <w:bottom w:w="65" w:type="dxa"/>
              <w:left w:w="90" w:type="dxa"/>
              <w:right w:w="90" w:type="dxa"/>
            </w:tcMar>
            <w:shd w:fill="E5E7EB"/>
          </w:tcPr>
          <w:p>
            <w:pPr>
              <w:pStyle w:val="ToolTable"/>
            </w:pPr>
            <w:r>
              <w:rPr>
                <w:b/>
              </w:rPr>
              <w:t>Transaction item</w:t>
            </w:r>
          </w:p>
        </w:tc>
        <w:tc>
          <w:tcPr>
            <w:tcW w:type="dxa" w:w="1872"/>
            <w:vAlign w:val="center"/>
            <w:tcMar>
              <w:top w:w="65" w:type="dxa"/>
              <w:bottom w:w="65" w:type="dxa"/>
              <w:left w:w="90" w:type="dxa"/>
              <w:right w:w="90" w:type="dxa"/>
            </w:tcMar>
            <w:shd w:fill="E5E7EB"/>
          </w:tcPr>
          <w:p>
            <w:pPr>
              <w:pStyle w:val="ToolTable"/>
            </w:pPr>
            <w:r>
              <w:rPr>
                <w:b/>
              </w:rPr>
              <w:t>Maple Street</w:t>
            </w:r>
          </w:p>
        </w:tc>
        <w:tc>
          <w:tcPr>
            <w:tcW w:type="dxa" w:w="1728"/>
            <w:vAlign w:val="center"/>
            <w:tcMar>
              <w:top w:w="65" w:type="dxa"/>
              <w:bottom w:w="65" w:type="dxa"/>
              <w:left w:w="90" w:type="dxa"/>
              <w:right w:w="90" w:type="dxa"/>
            </w:tcMar>
            <w:shd w:fill="E5E7EB"/>
          </w:tcPr>
          <w:p>
            <w:pPr>
              <w:pStyle w:val="ToolTable"/>
            </w:pPr>
            <w:r>
              <w:rPr>
                <w:b/>
              </w:rPr>
              <w:t>Your practice</w:t>
            </w:r>
          </w:p>
        </w:tc>
      </w:tr>
      <w:tr>
        <w:trPr>
          <w:cantSplit/>
        </w:trPr>
        <w:tc>
          <w:tcPr>
            <w:tcW w:type="dxa" w:w="5472"/>
            <w:vAlign w:val="center"/>
            <w:tcMar>
              <w:top w:w="65" w:type="dxa"/>
              <w:bottom w:w="65" w:type="dxa"/>
              <w:left w:w="90" w:type="dxa"/>
              <w:right w:w="90" w:type="dxa"/>
            </w:tcMar>
            <w:shd w:fill="FFFFFF"/>
          </w:tcPr>
          <w:p>
            <w:pPr>
              <w:pStyle w:val="ToolTable"/>
            </w:pPr>
            <w:r>
              <w:t>SOURCE Acquisition loan</w:t>
            </w:r>
          </w:p>
        </w:tc>
        <w:tc>
          <w:tcPr>
            <w:tcW w:type="dxa" w:w="1872"/>
            <w:vAlign w:val="center"/>
            <w:tcMar>
              <w:top w:w="65" w:type="dxa"/>
              <w:bottom w:w="65" w:type="dxa"/>
              <w:left w:w="90" w:type="dxa"/>
              <w:right w:w="90" w:type="dxa"/>
            </w:tcMar>
            <w:shd w:fill="FFFFFF"/>
          </w:tcPr>
          <w:p>
            <w:pPr>
              <w:pStyle w:val="ToolTable"/>
              <w:jc w:val="right"/>
            </w:pPr>
            <w:r>
              <w:t>$700,000</w:t>
            </w:r>
          </w:p>
        </w:tc>
        <w:tc>
          <w:tcPr>
            <w:tcW w:type="dxa" w:w="1728"/>
            <w:vAlign w:val="center"/>
            <w:tcMar>
              <w:top w:w="65" w:type="dxa"/>
              <w:bottom w:w="65" w:type="dxa"/>
              <w:left w:w="90" w:type="dxa"/>
              <w:right w:w="90" w:type="dxa"/>
            </w:tcMar>
            <w:shd w:fill="FFFFFF"/>
          </w:tcPr>
          <w:p>
            <w:pPr>
              <w:pStyle w:val="ToolTable"/>
            </w:pPr>
            <w:r/>
          </w:p>
        </w:tc>
      </w:tr>
      <w:tr>
        <w:trPr>
          <w:cantSplit/>
        </w:trPr>
        <w:tc>
          <w:tcPr>
            <w:tcW w:type="dxa" w:w="5472"/>
            <w:vAlign w:val="center"/>
            <w:tcMar>
              <w:top w:w="65" w:type="dxa"/>
              <w:bottom w:w="65" w:type="dxa"/>
              <w:left w:w="90" w:type="dxa"/>
              <w:right w:w="90" w:type="dxa"/>
            </w:tcMar>
            <w:shd w:fill="FFFFFF"/>
          </w:tcPr>
          <w:p>
            <w:pPr>
              <w:pStyle w:val="ToolTable"/>
            </w:pPr>
            <w:r>
              <w:t>SOURCE Buyer cash contributed</w:t>
            </w:r>
          </w:p>
        </w:tc>
        <w:tc>
          <w:tcPr>
            <w:tcW w:type="dxa" w:w="1872"/>
            <w:vAlign w:val="center"/>
            <w:tcMar>
              <w:top w:w="65" w:type="dxa"/>
              <w:bottom w:w="65" w:type="dxa"/>
              <w:left w:w="90" w:type="dxa"/>
              <w:right w:w="90" w:type="dxa"/>
            </w:tcMar>
            <w:shd w:fill="FFFFFF"/>
          </w:tcPr>
          <w:p>
            <w:pPr>
              <w:pStyle w:val="ToolTable"/>
              <w:jc w:val="right"/>
            </w:pPr>
            <w:r>
              <w:t>$290,000</w:t>
            </w:r>
          </w:p>
        </w:tc>
        <w:tc>
          <w:tcPr>
            <w:tcW w:type="dxa" w:w="1728"/>
            <w:vAlign w:val="center"/>
            <w:tcMar>
              <w:top w:w="65" w:type="dxa"/>
              <w:bottom w:w="65" w:type="dxa"/>
              <w:left w:w="90" w:type="dxa"/>
              <w:right w:w="90" w:type="dxa"/>
            </w:tcMar>
            <w:shd w:fill="FFFFFF"/>
          </w:tcPr>
          <w:p>
            <w:pPr>
              <w:pStyle w:val="ToolTable"/>
            </w:pPr>
            <w:r/>
          </w:p>
        </w:tc>
      </w:tr>
      <w:tr>
        <w:trPr>
          <w:cantSplit/>
        </w:trPr>
        <w:tc>
          <w:tcPr>
            <w:tcW w:type="dxa" w:w="5472"/>
            <w:vAlign w:val="center"/>
            <w:tcMar>
              <w:top w:w="65" w:type="dxa"/>
              <w:bottom w:w="65" w:type="dxa"/>
              <w:left w:w="90" w:type="dxa"/>
              <w:right w:w="90" w:type="dxa"/>
            </w:tcMar>
            <w:shd w:fill="FFFFFF"/>
          </w:tcPr>
          <w:p>
            <w:pPr>
              <w:pStyle w:val="ToolTable"/>
            </w:pPr>
            <w:r>
              <w:t>Total sources</w:t>
            </w:r>
          </w:p>
        </w:tc>
        <w:tc>
          <w:tcPr>
            <w:tcW w:type="dxa" w:w="1872"/>
            <w:vAlign w:val="center"/>
            <w:tcMar>
              <w:top w:w="65" w:type="dxa"/>
              <w:bottom w:w="65" w:type="dxa"/>
              <w:left w:w="90" w:type="dxa"/>
              <w:right w:w="90" w:type="dxa"/>
            </w:tcMar>
            <w:shd w:fill="FFFFFF"/>
          </w:tcPr>
          <w:p>
            <w:pPr>
              <w:pStyle w:val="ToolTable"/>
              <w:jc w:val="right"/>
            </w:pPr>
            <w:r>
              <w:t>$990,000</w:t>
            </w:r>
          </w:p>
        </w:tc>
        <w:tc>
          <w:tcPr>
            <w:tcW w:type="dxa" w:w="1728"/>
            <w:vAlign w:val="center"/>
            <w:tcMar>
              <w:top w:w="65" w:type="dxa"/>
              <w:bottom w:w="65" w:type="dxa"/>
              <w:left w:w="90" w:type="dxa"/>
              <w:right w:w="90" w:type="dxa"/>
            </w:tcMar>
            <w:shd w:fill="FFFFFF"/>
          </w:tcPr>
          <w:p>
            <w:pPr>
              <w:pStyle w:val="ToolTable"/>
            </w:pPr>
            <w:r/>
          </w:p>
        </w:tc>
      </w:tr>
      <w:tr>
        <w:trPr>
          <w:cantSplit/>
        </w:trPr>
        <w:tc>
          <w:tcPr>
            <w:tcW w:type="dxa" w:w="5472"/>
            <w:vAlign w:val="center"/>
            <w:tcMar>
              <w:top w:w="65" w:type="dxa"/>
              <w:bottom w:w="65" w:type="dxa"/>
              <w:left w:w="90" w:type="dxa"/>
              <w:right w:w="90" w:type="dxa"/>
            </w:tcMar>
            <w:shd w:fill="FFFFFF"/>
          </w:tcPr>
          <w:p>
            <w:pPr>
              <w:pStyle w:val="ToolTable"/>
            </w:pPr>
            <w:r>
              <w:t>USE Practice purchase price</w:t>
            </w:r>
          </w:p>
        </w:tc>
        <w:tc>
          <w:tcPr>
            <w:tcW w:type="dxa" w:w="1872"/>
            <w:vAlign w:val="center"/>
            <w:tcMar>
              <w:top w:w="65" w:type="dxa"/>
              <w:bottom w:w="65" w:type="dxa"/>
              <w:left w:w="90" w:type="dxa"/>
              <w:right w:w="90" w:type="dxa"/>
            </w:tcMar>
            <w:shd w:fill="FFFFFF"/>
          </w:tcPr>
          <w:p>
            <w:pPr>
              <w:pStyle w:val="ToolTable"/>
              <w:jc w:val="right"/>
            </w:pPr>
            <w:r>
              <w:t>$850,000</w:t>
            </w:r>
          </w:p>
        </w:tc>
        <w:tc>
          <w:tcPr>
            <w:tcW w:type="dxa" w:w="1728"/>
            <w:vAlign w:val="center"/>
            <w:tcMar>
              <w:top w:w="65" w:type="dxa"/>
              <w:bottom w:w="65" w:type="dxa"/>
              <w:left w:w="90" w:type="dxa"/>
              <w:right w:w="90" w:type="dxa"/>
            </w:tcMar>
            <w:shd w:fill="FFFFFF"/>
          </w:tcPr>
          <w:p>
            <w:pPr>
              <w:pStyle w:val="ToolTable"/>
            </w:pPr>
            <w:r/>
          </w:p>
        </w:tc>
      </w:tr>
      <w:tr>
        <w:trPr>
          <w:cantSplit/>
        </w:trPr>
        <w:tc>
          <w:tcPr>
            <w:tcW w:type="dxa" w:w="5472"/>
            <w:vAlign w:val="center"/>
            <w:tcMar>
              <w:top w:w="65" w:type="dxa"/>
              <w:bottom w:w="65" w:type="dxa"/>
              <w:left w:w="90" w:type="dxa"/>
              <w:right w:w="90" w:type="dxa"/>
            </w:tcMar>
            <w:shd w:fill="FFFFFF"/>
          </w:tcPr>
          <w:p>
            <w:pPr>
              <w:pStyle w:val="ToolTable"/>
            </w:pPr>
            <w:r>
              <w:t>USE Fees and setup</w:t>
            </w:r>
          </w:p>
        </w:tc>
        <w:tc>
          <w:tcPr>
            <w:tcW w:type="dxa" w:w="1872"/>
            <w:vAlign w:val="center"/>
            <w:tcMar>
              <w:top w:w="65" w:type="dxa"/>
              <w:bottom w:w="65" w:type="dxa"/>
              <w:left w:w="90" w:type="dxa"/>
              <w:right w:w="90" w:type="dxa"/>
            </w:tcMar>
            <w:shd w:fill="FFFFFF"/>
          </w:tcPr>
          <w:p>
            <w:pPr>
              <w:pStyle w:val="ToolTable"/>
              <w:jc w:val="right"/>
            </w:pPr>
            <w:r>
              <w:t>$40,000</w:t>
            </w:r>
          </w:p>
        </w:tc>
        <w:tc>
          <w:tcPr>
            <w:tcW w:type="dxa" w:w="1728"/>
            <w:vAlign w:val="center"/>
            <w:tcMar>
              <w:top w:w="65" w:type="dxa"/>
              <w:bottom w:w="65" w:type="dxa"/>
              <w:left w:w="90" w:type="dxa"/>
              <w:right w:w="90" w:type="dxa"/>
            </w:tcMar>
            <w:shd w:fill="FFFFFF"/>
          </w:tcPr>
          <w:p>
            <w:pPr>
              <w:pStyle w:val="ToolTable"/>
            </w:pPr>
            <w:r/>
          </w:p>
        </w:tc>
      </w:tr>
      <w:tr>
        <w:trPr>
          <w:cantSplit/>
        </w:trPr>
        <w:tc>
          <w:tcPr>
            <w:tcW w:type="dxa" w:w="5472"/>
            <w:vAlign w:val="center"/>
            <w:tcMar>
              <w:top w:w="65" w:type="dxa"/>
              <w:bottom w:w="65" w:type="dxa"/>
              <w:left w:w="90" w:type="dxa"/>
              <w:right w:w="90" w:type="dxa"/>
            </w:tcMar>
            <w:shd w:fill="FFFFFF"/>
          </w:tcPr>
          <w:p>
            <w:pPr>
              <w:pStyle w:val="ToolTable"/>
            </w:pPr>
            <w:r>
              <w:t>USE Capital work paid at closing</w:t>
            </w:r>
          </w:p>
        </w:tc>
        <w:tc>
          <w:tcPr>
            <w:tcW w:type="dxa" w:w="1872"/>
            <w:vAlign w:val="center"/>
            <w:tcMar>
              <w:top w:w="65" w:type="dxa"/>
              <w:bottom w:w="65" w:type="dxa"/>
              <w:left w:w="90" w:type="dxa"/>
              <w:right w:w="90" w:type="dxa"/>
            </w:tcMar>
            <w:shd w:fill="FFFFFF"/>
          </w:tcPr>
          <w:p>
            <w:pPr>
              <w:pStyle w:val="ToolTable"/>
              <w:jc w:val="right"/>
            </w:pPr>
            <w:r>
              <w:t>$20,000</w:t>
            </w:r>
          </w:p>
        </w:tc>
        <w:tc>
          <w:tcPr>
            <w:tcW w:type="dxa" w:w="1728"/>
            <w:vAlign w:val="center"/>
            <w:tcMar>
              <w:top w:w="65" w:type="dxa"/>
              <w:bottom w:w="65" w:type="dxa"/>
              <w:left w:w="90" w:type="dxa"/>
              <w:right w:w="90" w:type="dxa"/>
            </w:tcMar>
            <w:shd w:fill="FFFFFF"/>
          </w:tcPr>
          <w:p>
            <w:pPr>
              <w:pStyle w:val="ToolTable"/>
            </w:pPr>
            <w:r/>
          </w:p>
        </w:tc>
      </w:tr>
      <w:tr>
        <w:trPr>
          <w:cantSplit/>
        </w:trPr>
        <w:tc>
          <w:tcPr>
            <w:tcW w:type="dxa" w:w="5472"/>
            <w:vAlign w:val="center"/>
            <w:tcMar>
              <w:top w:w="65" w:type="dxa"/>
              <w:bottom w:w="65" w:type="dxa"/>
              <w:left w:w="90" w:type="dxa"/>
              <w:right w:w="90" w:type="dxa"/>
            </w:tcMar>
            <w:shd w:fill="FFFFFF"/>
          </w:tcPr>
          <w:p>
            <w:pPr>
              <w:pStyle w:val="ToolTable"/>
            </w:pPr>
            <w:r>
              <w:t>USE Opening operating cash</w:t>
            </w:r>
          </w:p>
        </w:tc>
        <w:tc>
          <w:tcPr>
            <w:tcW w:type="dxa" w:w="1872"/>
            <w:vAlign w:val="center"/>
            <w:tcMar>
              <w:top w:w="65" w:type="dxa"/>
              <w:bottom w:w="65" w:type="dxa"/>
              <w:left w:w="90" w:type="dxa"/>
              <w:right w:w="90" w:type="dxa"/>
            </w:tcMar>
            <w:shd w:fill="FFFFFF"/>
          </w:tcPr>
          <w:p>
            <w:pPr>
              <w:pStyle w:val="ToolTable"/>
              <w:jc w:val="right"/>
            </w:pPr>
            <w:r>
              <w:t>$80,000</w:t>
            </w:r>
          </w:p>
        </w:tc>
        <w:tc>
          <w:tcPr>
            <w:tcW w:type="dxa" w:w="1728"/>
            <w:vAlign w:val="center"/>
            <w:tcMar>
              <w:top w:w="65" w:type="dxa"/>
              <w:bottom w:w="65" w:type="dxa"/>
              <w:left w:w="90" w:type="dxa"/>
              <w:right w:w="90" w:type="dxa"/>
            </w:tcMar>
            <w:shd w:fill="FFFFFF"/>
          </w:tcPr>
          <w:p>
            <w:pPr>
              <w:pStyle w:val="ToolTable"/>
            </w:pPr>
            <w:r/>
          </w:p>
        </w:tc>
      </w:tr>
      <w:tr>
        <w:trPr>
          <w:cantSplit/>
        </w:trPr>
        <w:tc>
          <w:tcPr>
            <w:tcW w:type="dxa" w:w="5472"/>
            <w:vAlign w:val="center"/>
            <w:tcMar>
              <w:top w:w="65" w:type="dxa"/>
              <w:bottom w:w="65" w:type="dxa"/>
              <w:left w:w="90" w:type="dxa"/>
              <w:right w:w="90" w:type="dxa"/>
            </w:tcMar>
            <w:shd w:fill="FFFFFF"/>
          </w:tcPr>
          <w:p>
            <w:pPr>
              <w:pStyle w:val="ToolTable"/>
            </w:pPr>
            <w:r>
              <w:t>Total uses</w:t>
            </w:r>
          </w:p>
        </w:tc>
        <w:tc>
          <w:tcPr>
            <w:tcW w:type="dxa" w:w="1872"/>
            <w:vAlign w:val="center"/>
            <w:tcMar>
              <w:top w:w="65" w:type="dxa"/>
              <w:bottom w:w="65" w:type="dxa"/>
              <w:left w:w="90" w:type="dxa"/>
              <w:right w:w="90" w:type="dxa"/>
            </w:tcMar>
            <w:shd w:fill="FFFFFF"/>
          </w:tcPr>
          <w:p>
            <w:pPr>
              <w:pStyle w:val="ToolTable"/>
              <w:jc w:val="right"/>
            </w:pPr>
            <w:r>
              <w:t>$990,000</w:t>
            </w:r>
          </w:p>
        </w:tc>
        <w:tc>
          <w:tcPr>
            <w:tcW w:type="dxa" w:w="1728"/>
            <w:vAlign w:val="center"/>
            <w:tcMar>
              <w:top w:w="65" w:type="dxa"/>
              <w:bottom w:w="65" w:type="dxa"/>
              <w:left w:w="90" w:type="dxa"/>
              <w:right w:w="90" w:type="dxa"/>
            </w:tcMar>
            <w:shd w:fill="FFFFFF"/>
          </w:tcPr>
          <w:p>
            <w:pPr>
              <w:pStyle w:val="ToolTable"/>
            </w:pPr>
            <w:r/>
          </w:p>
        </w:tc>
      </w:tr>
      <w:tr>
        <w:trPr>
          <w:cantSplit/>
        </w:trPr>
        <w:tc>
          <w:tcPr>
            <w:tcW w:type="dxa" w:w="5472"/>
            <w:vAlign w:val="center"/>
            <w:tcMar>
              <w:top w:w="65" w:type="dxa"/>
              <w:bottom w:w="65" w:type="dxa"/>
              <w:left w:w="90" w:type="dxa"/>
              <w:right w:w="90" w:type="dxa"/>
            </w:tcMar>
            <w:shd w:fill="FFFFFF"/>
          </w:tcPr>
          <w:p>
            <w:pPr>
              <w:pStyle w:val="ToolTable"/>
            </w:pPr>
            <w:r>
              <w:t>Unfunded uses less sources</w:t>
            </w:r>
          </w:p>
        </w:tc>
        <w:tc>
          <w:tcPr>
            <w:tcW w:type="dxa" w:w="1872"/>
            <w:vAlign w:val="center"/>
            <w:tcMar>
              <w:top w:w="65" w:type="dxa"/>
              <w:bottom w:w="65" w:type="dxa"/>
              <w:left w:w="90" w:type="dxa"/>
              <w:right w:w="90" w:type="dxa"/>
            </w:tcMar>
            <w:shd w:fill="FFFFFF"/>
          </w:tcPr>
          <w:p>
            <w:pPr>
              <w:pStyle w:val="ToolTable"/>
              <w:jc w:val="right"/>
            </w:pPr>
            <w:r>
              <w:t>$0</w:t>
            </w:r>
          </w:p>
        </w:tc>
        <w:tc>
          <w:tcPr>
            <w:tcW w:type="dxa" w:w="1728"/>
            <w:vAlign w:val="center"/>
            <w:tcMar>
              <w:top w:w="65" w:type="dxa"/>
              <w:bottom w:w="65" w:type="dxa"/>
              <w:left w:w="90" w:type="dxa"/>
              <w:right w:w="90" w:type="dxa"/>
            </w:tcMar>
            <w:shd w:fill="FFFFFF"/>
          </w:tcPr>
          <w:p>
            <w:pPr>
              <w:pStyle w:val="ToolTable"/>
            </w:pPr>
            <w:r/>
          </w:p>
        </w:tc>
      </w:tr>
    </w:tbl>
    <w:p>
      <w:pPr>
        <w:pStyle w:val="ToolBody"/>
        <w:spacing w:after="20"/>
      </w:pPr>
    </w:p>
    <w:p>
      <w:pPr>
        <w:pStyle w:val="ToolField"/>
      </w:pPr>
      <w:r>
        <w:rPr>
          <w:b/>
        </w:rPr>
        <w:t>Source availability dates and conditions</w:t>
        <w:br/>
      </w:r>
      <w:r>
        <w:t>__________________________________________________________________</w:t>
      </w:r>
    </w:p>
    <w:p>
      <w:pPr>
        <w:pStyle w:val="ToolField"/>
      </w:pPr>
      <w:r>
        <w:rPr>
          <w:b/>
        </w:rPr>
        <w:t>Items included in the price that must not be counted again</w:t>
        <w:br/>
      </w:r>
      <w:r>
        <w:t>__________________________________________________________________</w:t>
      </w:r>
    </w:p>
    <w:p>
      <w:pPr>
        <w:pStyle w:val="ToolField"/>
      </w:pPr>
      <w:r>
        <w:rPr>
          <w:b/>
        </w:rPr>
        <w:t>Receivables, patient credits, and prepaid care treatment</w:t>
        <w:br/>
      </w:r>
      <w:r>
        <w:t>__________________________________________________________________</w:t>
      </w:r>
    </w:p>
    <w:p>
      <w:pPr>
        <w:pStyle w:val="ToolField"/>
      </w:pPr>
      <w:r>
        <w:rPr>
          <w:b/>
        </w:rPr>
        <w:t>Separate household reserve and other personal commitments</w:t>
        <w:br/>
      </w:r>
      <w:r>
        <w:t>__________________________________________________________________</w:t>
      </w:r>
    </w:p>
    <w:p>
      <w:pPr>
        <w:pStyle w:val="ToolBody"/>
      </w:pPr>
      <w:r>
        <w:t>In this example the buyer also keeps $75,000 outside the purchase, requiring $365,000 of accessible buyer cash in total. A loan containing a working-capital component is one source; do not add the same component a second time.</w:t>
      </w:r>
    </w:p>
    <w:p>
      <w:pPr>
        <w:pStyle w:val="ToolBody"/>
      </w:pPr>
      <w:r>
        <w:t>An undrawn credit line is contingent backup, not cash already in the bank. Record its limit, availability, conditions, and repayment cost separately. If the forecast needs another draw, reflect the draw and its payments once.</w:t>
      </w:r>
    </w:p>
    <w:p>
      <w:pPr>
        <w:pStyle w:val="ToolTitle"/>
        <w:pageBreakBefore/>
      </w:pPr>
      <w:r>
        <w:t>Tool 10 Thirteen week cash forecast</w:t>
      </w:r>
    </w:p>
    <w:p>
      <w:pPr>
        <w:pStyle w:val="ToolReference"/>
      </w:pPr>
      <w:r>
        <w:t>Chapters 16 and 50</w:t>
      </w:r>
    </w:p>
    <w:p>
      <w:pPr>
        <w:pStyle w:val="ToolBody"/>
      </w:pPr>
      <w:r>
        <w:t>Maple Street illustration. Values below are rounded to whole dollars for display; the calculation uses cents. Beginning available cash is $80,000. The chosen $60,000 minimum is an illustrative operating buffer, not a recommendation for every buyer.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864"/>
        <w:gridCol w:w="1872"/>
        <w:gridCol w:w="1944"/>
        <w:gridCol w:w="2160"/>
        <w:gridCol w:w="2232"/>
      </w:tblGrid>
      <w:tr>
        <w:trPr>
          <w:cantSplit/>
          <w:tblHeader/>
        </w:trPr>
        <w:tc>
          <w:tcPr>
            <w:tcW w:type="dxa" w:w="864"/>
            <w:vAlign w:val="center"/>
            <w:tcMar>
              <w:top w:w="65" w:type="dxa"/>
              <w:bottom w:w="65" w:type="dxa"/>
              <w:left w:w="90" w:type="dxa"/>
              <w:right w:w="90" w:type="dxa"/>
            </w:tcMar>
            <w:shd w:fill="E5E7EB"/>
          </w:tcPr>
          <w:p>
            <w:pPr>
              <w:pStyle w:val="ToolTable"/>
            </w:pPr>
            <w:r>
              <w:rPr>
                <w:b/>
              </w:rPr>
              <w:t>Week</w:t>
            </w:r>
          </w:p>
        </w:tc>
        <w:tc>
          <w:tcPr>
            <w:tcW w:type="dxa" w:w="1872"/>
            <w:vAlign w:val="center"/>
            <w:tcMar>
              <w:top w:w="65" w:type="dxa"/>
              <w:bottom w:w="65" w:type="dxa"/>
              <w:left w:w="90" w:type="dxa"/>
              <w:right w:w="90" w:type="dxa"/>
            </w:tcMar>
            <w:shd w:fill="E5E7EB"/>
          </w:tcPr>
          <w:p>
            <w:pPr>
              <w:pStyle w:val="ToolTable"/>
            </w:pPr>
            <w:r>
              <w:rPr>
                <w:b/>
              </w:rPr>
              <w:t>Base receipts</w:t>
            </w:r>
          </w:p>
        </w:tc>
        <w:tc>
          <w:tcPr>
            <w:tcW w:type="dxa" w:w="1944"/>
            <w:vAlign w:val="center"/>
            <w:tcMar>
              <w:top w:w="65" w:type="dxa"/>
              <w:bottom w:w="65" w:type="dxa"/>
              <w:left w:w="90" w:type="dxa"/>
              <w:right w:w="90" w:type="dxa"/>
            </w:tcMar>
            <w:shd w:fill="E5E7EB"/>
          </w:tcPr>
          <w:p>
            <w:pPr>
              <w:pStyle w:val="ToolTable"/>
            </w:pPr>
            <w:r>
              <w:rPr>
                <w:b/>
              </w:rPr>
              <w:t>Base outflows</w:t>
            </w:r>
          </w:p>
        </w:tc>
        <w:tc>
          <w:tcPr>
            <w:tcW w:type="dxa" w:w="2160"/>
            <w:vAlign w:val="center"/>
            <w:tcMar>
              <w:top w:w="65" w:type="dxa"/>
              <w:bottom w:w="65" w:type="dxa"/>
              <w:left w:w="90" w:type="dxa"/>
              <w:right w:w="90" w:type="dxa"/>
            </w:tcMar>
            <w:shd w:fill="E5E7EB"/>
          </w:tcPr>
          <w:p>
            <w:pPr>
              <w:pStyle w:val="ToolTable"/>
            </w:pPr>
            <w:r>
              <w:rPr>
                <w:b/>
              </w:rPr>
              <w:t>Base ending cash</w:t>
            </w:r>
          </w:p>
        </w:tc>
        <w:tc>
          <w:tcPr>
            <w:tcW w:type="dxa" w:w="2232"/>
            <w:vAlign w:val="center"/>
            <w:tcMar>
              <w:top w:w="65" w:type="dxa"/>
              <w:bottom w:w="65" w:type="dxa"/>
              <w:left w:w="90" w:type="dxa"/>
              <w:right w:w="90" w:type="dxa"/>
            </w:tcMar>
            <w:shd w:fill="E5E7EB"/>
          </w:tcPr>
          <w:p>
            <w:pPr>
              <w:pStyle w:val="ToolTable"/>
            </w:pPr>
            <w:r>
              <w:rPr>
                <w:b/>
              </w:rPr>
              <w:t>Stress ending cash</w:t>
            </w:r>
          </w:p>
        </w:tc>
      </w:tr>
      <w:tr>
        <w:trPr>
          <w:cantSplit/>
        </w:trPr>
        <w:tc>
          <w:tcPr>
            <w:tcW w:type="dxa" w:w="864"/>
            <w:vAlign w:val="center"/>
            <w:tcMar>
              <w:top w:w="65" w:type="dxa"/>
              <w:bottom w:w="65" w:type="dxa"/>
              <w:left w:w="90" w:type="dxa"/>
              <w:right w:w="90" w:type="dxa"/>
            </w:tcMar>
            <w:shd w:fill="FFFFFF"/>
          </w:tcPr>
          <w:p>
            <w:pPr>
              <w:pStyle w:val="ToolTable"/>
            </w:pPr>
            <w:r>
              <w:t>1</w:t>
            </w:r>
          </w:p>
        </w:tc>
        <w:tc>
          <w:tcPr>
            <w:tcW w:type="dxa" w:w="1872"/>
            <w:vAlign w:val="center"/>
            <w:tcMar>
              <w:top w:w="65" w:type="dxa"/>
              <w:bottom w:w="65" w:type="dxa"/>
              <w:left w:w="90" w:type="dxa"/>
              <w:right w:w="90" w:type="dxa"/>
            </w:tcMar>
            <w:shd w:fill="FFFFFF"/>
          </w:tcPr>
          <w:p>
            <w:pPr>
              <w:pStyle w:val="ToolTable"/>
              <w:jc w:val="right"/>
            </w:pPr>
            <w:r>
              <w:t>$18,000</w:t>
            </w:r>
          </w:p>
        </w:tc>
        <w:tc>
          <w:tcPr>
            <w:tcW w:type="dxa" w:w="1944"/>
            <w:vAlign w:val="center"/>
            <w:tcMar>
              <w:top w:w="65" w:type="dxa"/>
              <w:bottom w:w="65" w:type="dxa"/>
              <w:left w:w="90" w:type="dxa"/>
              <w:right w:w="90" w:type="dxa"/>
            </w:tcMar>
            <w:shd w:fill="FFFFFF"/>
          </w:tcPr>
          <w:p>
            <w:pPr>
              <w:pStyle w:val="ToolTable"/>
              <w:jc w:val="right"/>
            </w:pPr>
            <w:r>
              <w:t>$19,500</w:t>
            </w:r>
          </w:p>
        </w:tc>
        <w:tc>
          <w:tcPr>
            <w:tcW w:type="dxa" w:w="2160"/>
            <w:vAlign w:val="center"/>
            <w:tcMar>
              <w:top w:w="65" w:type="dxa"/>
              <w:bottom w:w="65" w:type="dxa"/>
              <w:left w:w="90" w:type="dxa"/>
              <w:right w:w="90" w:type="dxa"/>
            </w:tcMar>
            <w:shd w:fill="FFFFFF"/>
          </w:tcPr>
          <w:p>
            <w:pPr>
              <w:pStyle w:val="ToolTable"/>
              <w:jc w:val="right"/>
            </w:pPr>
            <w:r>
              <w:t>$78,500</w:t>
            </w:r>
          </w:p>
        </w:tc>
        <w:tc>
          <w:tcPr>
            <w:tcW w:type="dxa" w:w="2232"/>
            <w:vAlign w:val="center"/>
            <w:tcMar>
              <w:top w:w="65" w:type="dxa"/>
              <w:bottom w:w="65" w:type="dxa"/>
              <w:left w:w="90" w:type="dxa"/>
              <w:right w:w="90" w:type="dxa"/>
            </w:tcMar>
            <w:shd w:fill="FFFFFF"/>
          </w:tcPr>
          <w:p>
            <w:pPr>
              <w:pStyle w:val="ToolTable"/>
              <w:jc w:val="right"/>
            </w:pPr>
            <w:r>
              <w:t>$78,500</w:t>
            </w:r>
          </w:p>
        </w:tc>
      </w:tr>
      <w:tr>
        <w:trPr>
          <w:cantSplit/>
        </w:trPr>
        <w:tc>
          <w:tcPr>
            <w:tcW w:type="dxa" w:w="864"/>
            <w:vAlign w:val="center"/>
            <w:tcMar>
              <w:top w:w="65" w:type="dxa"/>
              <w:bottom w:w="65" w:type="dxa"/>
              <w:left w:w="90" w:type="dxa"/>
              <w:right w:w="90" w:type="dxa"/>
            </w:tcMar>
            <w:shd w:fill="FFFFFF"/>
          </w:tcPr>
          <w:p>
            <w:pPr>
              <w:pStyle w:val="ToolTable"/>
            </w:pPr>
            <w:r>
              <w:t>2</w:t>
            </w:r>
          </w:p>
        </w:tc>
        <w:tc>
          <w:tcPr>
            <w:tcW w:type="dxa" w:w="1872"/>
            <w:vAlign w:val="center"/>
            <w:tcMar>
              <w:top w:w="65" w:type="dxa"/>
              <w:bottom w:w="65" w:type="dxa"/>
              <w:left w:w="90" w:type="dxa"/>
              <w:right w:w="90" w:type="dxa"/>
            </w:tcMar>
            <w:shd w:fill="FFFFFF"/>
          </w:tcPr>
          <w:p>
            <w:pPr>
              <w:pStyle w:val="ToolTable"/>
              <w:jc w:val="right"/>
            </w:pPr>
            <w:r>
              <w:t>$20,000</w:t>
            </w:r>
          </w:p>
        </w:tc>
        <w:tc>
          <w:tcPr>
            <w:tcW w:type="dxa" w:w="1944"/>
            <w:vAlign w:val="center"/>
            <w:tcMar>
              <w:top w:w="65" w:type="dxa"/>
              <w:bottom w:w="65" w:type="dxa"/>
              <w:left w:w="90" w:type="dxa"/>
              <w:right w:w="90" w:type="dxa"/>
            </w:tcMar>
            <w:shd w:fill="FFFFFF"/>
          </w:tcPr>
          <w:p>
            <w:pPr>
              <w:pStyle w:val="ToolTable"/>
              <w:jc w:val="right"/>
            </w:pPr>
            <w:r>
              <w:t>$21,500</w:t>
            </w:r>
          </w:p>
        </w:tc>
        <w:tc>
          <w:tcPr>
            <w:tcW w:type="dxa" w:w="2160"/>
            <w:vAlign w:val="center"/>
            <w:tcMar>
              <w:top w:w="65" w:type="dxa"/>
              <w:bottom w:w="65" w:type="dxa"/>
              <w:left w:w="90" w:type="dxa"/>
              <w:right w:w="90" w:type="dxa"/>
            </w:tcMar>
            <w:shd w:fill="FFFFFF"/>
          </w:tcPr>
          <w:p>
            <w:pPr>
              <w:pStyle w:val="ToolTable"/>
              <w:jc w:val="right"/>
            </w:pPr>
            <w:r>
              <w:t>$77,000</w:t>
            </w:r>
          </w:p>
        </w:tc>
        <w:tc>
          <w:tcPr>
            <w:tcW w:type="dxa" w:w="2232"/>
            <w:vAlign w:val="center"/>
            <w:tcMar>
              <w:top w:w="65" w:type="dxa"/>
              <w:bottom w:w="65" w:type="dxa"/>
              <w:left w:w="90" w:type="dxa"/>
              <w:right w:w="90" w:type="dxa"/>
            </w:tcMar>
            <w:shd w:fill="FFFFFF"/>
          </w:tcPr>
          <w:p>
            <w:pPr>
              <w:pStyle w:val="ToolTable"/>
              <w:jc w:val="right"/>
            </w:pPr>
            <w:r>
              <w:t>$57,000</w:t>
            </w:r>
          </w:p>
        </w:tc>
      </w:tr>
      <w:tr>
        <w:trPr>
          <w:cantSplit/>
        </w:trPr>
        <w:tc>
          <w:tcPr>
            <w:tcW w:type="dxa" w:w="864"/>
            <w:vAlign w:val="center"/>
            <w:tcMar>
              <w:top w:w="65" w:type="dxa"/>
              <w:bottom w:w="65" w:type="dxa"/>
              <w:left w:w="90" w:type="dxa"/>
              <w:right w:w="90" w:type="dxa"/>
            </w:tcMar>
            <w:shd w:fill="FFFFFF"/>
          </w:tcPr>
          <w:p>
            <w:pPr>
              <w:pStyle w:val="ToolTable"/>
            </w:pPr>
            <w:r>
              <w:t>3</w:t>
            </w:r>
          </w:p>
        </w:tc>
        <w:tc>
          <w:tcPr>
            <w:tcW w:type="dxa" w:w="1872"/>
            <w:vAlign w:val="center"/>
            <w:tcMar>
              <w:top w:w="65" w:type="dxa"/>
              <w:bottom w:w="65" w:type="dxa"/>
              <w:left w:w="90" w:type="dxa"/>
              <w:right w:w="90" w:type="dxa"/>
            </w:tcMar>
            <w:shd w:fill="FFFFFF"/>
          </w:tcPr>
          <w:p>
            <w:pPr>
              <w:pStyle w:val="ToolTable"/>
              <w:jc w:val="right"/>
            </w:pPr>
            <w:r>
              <w:t>$22,000</w:t>
            </w:r>
          </w:p>
        </w:tc>
        <w:tc>
          <w:tcPr>
            <w:tcW w:type="dxa" w:w="1944"/>
            <w:vAlign w:val="center"/>
            <w:tcMar>
              <w:top w:w="65" w:type="dxa"/>
              <w:bottom w:w="65" w:type="dxa"/>
              <w:left w:w="90" w:type="dxa"/>
              <w:right w:w="90" w:type="dxa"/>
            </w:tcMar>
            <w:shd w:fill="FFFFFF"/>
          </w:tcPr>
          <w:p>
            <w:pPr>
              <w:pStyle w:val="ToolTable"/>
              <w:jc w:val="right"/>
            </w:pPr>
            <w:r>
              <w:t>$17,500</w:t>
            </w:r>
          </w:p>
        </w:tc>
        <w:tc>
          <w:tcPr>
            <w:tcW w:type="dxa" w:w="2160"/>
            <w:vAlign w:val="center"/>
            <w:tcMar>
              <w:top w:w="65" w:type="dxa"/>
              <w:bottom w:w="65" w:type="dxa"/>
              <w:left w:w="90" w:type="dxa"/>
              <w:right w:w="90" w:type="dxa"/>
            </w:tcMar>
            <w:shd w:fill="FFFFFF"/>
          </w:tcPr>
          <w:p>
            <w:pPr>
              <w:pStyle w:val="ToolTable"/>
              <w:jc w:val="right"/>
            </w:pPr>
            <w:r>
              <w:t>$81,500</w:t>
            </w:r>
          </w:p>
        </w:tc>
        <w:tc>
          <w:tcPr>
            <w:tcW w:type="dxa" w:w="2232"/>
            <w:vAlign w:val="center"/>
            <w:tcMar>
              <w:top w:w="65" w:type="dxa"/>
              <w:bottom w:w="65" w:type="dxa"/>
              <w:left w:w="90" w:type="dxa"/>
              <w:right w:w="90" w:type="dxa"/>
            </w:tcMar>
            <w:shd w:fill="FFFFFF"/>
          </w:tcPr>
          <w:p>
            <w:pPr>
              <w:pStyle w:val="ToolTable"/>
              <w:jc w:val="right"/>
            </w:pPr>
            <w:r>
              <w:t>$61,500</w:t>
            </w:r>
          </w:p>
        </w:tc>
      </w:tr>
      <w:tr>
        <w:trPr>
          <w:cantSplit/>
        </w:trPr>
        <w:tc>
          <w:tcPr>
            <w:tcW w:type="dxa" w:w="864"/>
            <w:vAlign w:val="center"/>
            <w:tcMar>
              <w:top w:w="65" w:type="dxa"/>
              <w:bottom w:w="65" w:type="dxa"/>
              <w:left w:w="90" w:type="dxa"/>
              <w:right w:w="90" w:type="dxa"/>
            </w:tcMar>
            <w:shd w:fill="FFFFFF"/>
          </w:tcPr>
          <w:p>
            <w:pPr>
              <w:pStyle w:val="ToolTable"/>
            </w:pPr>
            <w:r>
              <w:t>4</w:t>
            </w:r>
          </w:p>
        </w:tc>
        <w:tc>
          <w:tcPr>
            <w:tcW w:type="dxa" w:w="1872"/>
            <w:vAlign w:val="center"/>
            <w:tcMar>
              <w:top w:w="65" w:type="dxa"/>
              <w:bottom w:w="65" w:type="dxa"/>
              <w:left w:w="90" w:type="dxa"/>
              <w:right w:w="90" w:type="dxa"/>
            </w:tcMar>
            <w:shd w:fill="FFFFFF"/>
          </w:tcPr>
          <w:p>
            <w:pPr>
              <w:pStyle w:val="ToolTable"/>
              <w:jc w:val="right"/>
            </w:pPr>
            <w:r>
              <w:t>$24,000</w:t>
            </w:r>
          </w:p>
        </w:tc>
        <w:tc>
          <w:tcPr>
            <w:tcW w:type="dxa" w:w="1944"/>
            <w:vAlign w:val="center"/>
            <w:tcMar>
              <w:top w:w="65" w:type="dxa"/>
              <w:bottom w:w="65" w:type="dxa"/>
              <w:left w:w="90" w:type="dxa"/>
              <w:right w:w="90" w:type="dxa"/>
            </w:tcMar>
            <w:shd w:fill="FFFFFF"/>
          </w:tcPr>
          <w:p>
            <w:pPr>
              <w:pStyle w:val="ToolTable"/>
              <w:jc w:val="right"/>
            </w:pPr>
            <w:r>
              <w:t>$32,493</w:t>
            </w:r>
          </w:p>
        </w:tc>
        <w:tc>
          <w:tcPr>
            <w:tcW w:type="dxa" w:w="2160"/>
            <w:vAlign w:val="center"/>
            <w:tcMar>
              <w:top w:w="65" w:type="dxa"/>
              <w:bottom w:w="65" w:type="dxa"/>
              <w:left w:w="90" w:type="dxa"/>
              <w:right w:w="90" w:type="dxa"/>
            </w:tcMar>
            <w:shd w:fill="FFFFFF"/>
          </w:tcPr>
          <w:p>
            <w:pPr>
              <w:pStyle w:val="ToolTable"/>
              <w:jc w:val="right"/>
            </w:pPr>
            <w:r>
              <w:t>$73,007</w:t>
            </w:r>
          </w:p>
        </w:tc>
        <w:tc>
          <w:tcPr>
            <w:tcW w:type="dxa" w:w="2232"/>
            <w:vAlign w:val="center"/>
            <w:tcMar>
              <w:top w:w="65" w:type="dxa"/>
              <w:bottom w:w="65" w:type="dxa"/>
              <w:left w:w="90" w:type="dxa"/>
              <w:right w:w="90" w:type="dxa"/>
            </w:tcMar>
            <w:shd w:fill="FFFFFF"/>
          </w:tcPr>
          <w:p>
            <w:pPr>
              <w:pStyle w:val="ToolTable"/>
              <w:jc w:val="right"/>
            </w:pPr>
            <w:r>
              <w:t>$33,007</w:t>
            </w:r>
          </w:p>
        </w:tc>
      </w:tr>
      <w:tr>
        <w:trPr>
          <w:cantSplit/>
        </w:trPr>
        <w:tc>
          <w:tcPr>
            <w:tcW w:type="dxa" w:w="864"/>
            <w:vAlign w:val="center"/>
            <w:tcMar>
              <w:top w:w="65" w:type="dxa"/>
              <w:bottom w:w="65" w:type="dxa"/>
              <w:left w:w="90" w:type="dxa"/>
              <w:right w:w="90" w:type="dxa"/>
            </w:tcMar>
            <w:shd w:fill="FFFFFF"/>
          </w:tcPr>
          <w:p>
            <w:pPr>
              <w:pStyle w:val="ToolTable"/>
            </w:pPr>
            <w:r>
              <w:t>5</w:t>
            </w:r>
          </w:p>
        </w:tc>
        <w:tc>
          <w:tcPr>
            <w:tcW w:type="dxa" w:w="1872"/>
            <w:vAlign w:val="center"/>
            <w:tcMar>
              <w:top w:w="65" w:type="dxa"/>
              <w:bottom w:w="65" w:type="dxa"/>
              <w:left w:w="90" w:type="dxa"/>
              <w:right w:w="90" w:type="dxa"/>
            </w:tcMar>
            <w:shd w:fill="FFFFFF"/>
          </w:tcPr>
          <w:p>
            <w:pPr>
              <w:pStyle w:val="ToolTable"/>
              <w:jc w:val="right"/>
            </w:pPr>
            <w:r>
              <w:t>$20,000</w:t>
            </w:r>
          </w:p>
        </w:tc>
        <w:tc>
          <w:tcPr>
            <w:tcW w:type="dxa" w:w="1944"/>
            <w:vAlign w:val="center"/>
            <w:tcMar>
              <w:top w:w="65" w:type="dxa"/>
              <w:bottom w:w="65" w:type="dxa"/>
              <w:left w:w="90" w:type="dxa"/>
              <w:right w:w="90" w:type="dxa"/>
            </w:tcMar>
            <w:shd w:fill="FFFFFF"/>
          </w:tcPr>
          <w:p>
            <w:pPr>
              <w:pStyle w:val="ToolTable"/>
              <w:jc w:val="right"/>
            </w:pPr>
            <w:r>
              <w:t>$19,500</w:t>
            </w:r>
          </w:p>
        </w:tc>
        <w:tc>
          <w:tcPr>
            <w:tcW w:type="dxa" w:w="2160"/>
            <w:vAlign w:val="center"/>
            <w:tcMar>
              <w:top w:w="65" w:type="dxa"/>
              <w:bottom w:w="65" w:type="dxa"/>
              <w:left w:w="90" w:type="dxa"/>
              <w:right w:w="90" w:type="dxa"/>
            </w:tcMar>
            <w:shd w:fill="FFFFFF"/>
          </w:tcPr>
          <w:p>
            <w:pPr>
              <w:pStyle w:val="ToolTable"/>
              <w:jc w:val="right"/>
            </w:pPr>
            <w:r>
              <w:t>$73,507</w:t>
            </w:r>
          </w:p>
        </w:tc>
        <w:tc>
          <w:tcPr>
            <w:tcW w:type="dxa" w:w="2232"/>
            <w:vAlign w:val="center"/>
            <w:tcMar>
              <w:top w:w="65" w:type="dxa"/>
              <w:bottom w:w="65" w:type="dxa"/>
              <w:left w:w="90" w:type="dxa"/>
              <w:right w:w="90" w:type="dxa"/>
            </w:tcMar>
            <w:shd w:fill="FFFFFF"/>
          </w:tcPr>
          <w:p>
            <w:pPr>
              <w:pStyle w:val="ToolTable"/>
              <w:jc w:val="right"/>
            </w:pPr>
            <w:r>
              <w:t>$33,507</w:t>
            </w:r>
          </w:p>
        </w:tc>
      </w:tr>
      <w:tr>
        <w:trPr>
          <w:cantSplit/>
        </w:trPr>
        <w:tc>
          <w:tcPr>
            <w:tcW w:type="dxa" w:w="864"/>
            <w:vAlign w:val="center"/>
            <w:tcMar>
              <w:top w:w="65" w:type="dxa"/>
              <w:bottom w:w="65" w:type="dxa"/>
              <w:left w:w="90" w:type="dxa"/>
              <w:right w:w="90" w:type="dxa"/>
            </w:tcMar>
            <w:shd w:fill="FFFFFF"/>
          </w:tcPr>
          <w:p>
            <w:pPr>
              <w:pStyle w:val="ToolTable"/>
            </w:pPr>
            <w:r>
              <w:t>6</w:t>
            </w:r>
          </w:p>
        </w:tc>
        <w:tc>
          <w:tcPr>
            <w:tcW w:type="dxa" w:w="1872"/>
            <w:vAlign w:val="center"/>
            <w:tcMar>
              <w:top w:w="65" w:type="dxa"/>
              <w:bottom w:w="65" w:type="dxa"/>
              <w:left w:w="90" w:type="dxa"/>
              <w:right w:w="90" w:type="dxa"/>
            </w:tcMar>
            <w:shd w:fill="FFFFFF"/>
          </w:tcPr>
          <w:p>
            <w:pPr>
              <w:pStyle w:val="ToolTable"/>
              <w:jc w:val="right"/>
            </w:pPr>
            <w:r>
              <w:t>$22,000</w:t>
            </w:r>
          </w:p>
        </w:tc>
        <w:tc>
          <w:tcPr>
            <w:tcW w:type="dxa" w:w="1944"/>
            <w:vAlign w:val="center"/>
            <w:tcMar>
              <w:top w:w="65" w:type="dxa"/>
              <w:bottom w:w="65" w:type="dxa"/>
              <w:left w:w="90" w:type="dxa"/>
              <w:right w:w="90" w:type="dxa"/>
            </w:tcMar>
            <w:shd w:fill="FFFFFF"/>
          </w:tcPr>
          <w:p>
            <w:pPr>
              <w:pStyle w:val="ToolTable"/>
              <w:jc w:val="right"/>
            </w:pPr>
            <w:r>
              <w:t>$21,500</w:t>
            </w:r>
          </w:p>
        </w:tc>
        <w:tc>
          <w:tcPr>
            <w:tcW w:type="dxa" w:w="2160"/>
            <w:vAlign w:val="center"/>
            <w:tcMar>
              <w:top w:w="65" w:type="dxa"/>
              <w:bottom w:w="65" w:type="dxa"/>
              <w:left w:w="90" w:type="dxa"/>
              <w:right w:w="90" w:type="dxa"/>
            </w:tcMar>
            <w:shd w:fill="FFFFFF"/>
          </w:tcPr>
          <w:p>
            <w:pPr>
              <w:pStyle w:val="ToolTable"/>
              <w:jc w:val="right"/>
            </w:pPr>
            <w:r>
              <w:t>$74,007</w:t>
            </w:r>
          </w:p>
        </w:tc>
        <w:tc>
          <w:tcPr>
            <w:tcW w:type="dxa" w:w="2232"/>
            <w:vAlign w:val="center"/>
            <w:tcMar>
              <w:top w:w="65" w:type="dxa"/>
              <w:bottom w:w="65" w:type="dxa"/>
              <w:left w:w="90" w:type="dxa"/>
              <w:right w:w="90" w:type="dxa"/>
            </w:tcMar>
            <w:shd w:fill="FFFFFF"/>
          </w:tcPr>
          <w:p>
            <w:pPr>
              <w:pStyle w:val="ToolTable"/>
              <w:jc w:val="right"/>
            </w:pPr>
            <w:r>
              <w:t>$34,007</w:t>
            </w:r>
          </w:p>
        </w:tc>
      </w:tr>
      <w:tr>
        <w:trPr>
          <w:cantSplit/>
        </w:trPr>
        <w:tc>
          <w:tcPr>
            <w:tcW w:type="dxa" w:w="864"/>
            <w:vAlign w:val="center"/>
            <w:tcMar>
              <w:top w:w="65" w:type="dxa"/>
              <w:bottom w:w="65" w:type="dxa"/>
              <w:left w:w="90" w:type="dxa"/>
              <w:right w:w="90" w:type="dxa"/>
            </w:tcMar>
            <w:shd w:fill="FFFFFF"/>
          </w:tcPr>
          <w:p>
            <w:pPr>
              <w:pStyle w:val="ToolTable"/>
            </w:pPr>
            <w:r>
              <w:t>7</w:t>
            </w:r>
          </w:p>
        </w:tc>
        <w:tc>
          <w:tcPr>
            <w:tcW w:type="dxa" w:w="1872"/>
            <w:vAlign w:val="center"/>
            <w:tcMar>
              <w:top w:w="65" w:type="dxa"/>
              <w:bottom w:w="65" w:type="dxa"/>
              <w:left w:w="90" w:type="dxa"/>
              <w:right w:w="90" w:type="dxa"/>
            </w:tcMar>
            <w:shd w:fill="FFFFFF"/>
          </w:tcPr>
          <w:p>
            <w:pPr>
              <w:pStyle w:val="ToolTable"/>
              <w:jc w:val="right"/>
            </w:pPr>
            <w:r>
              <w:t>$24,000</w:t>
            </w:r>
          </w:p>
        </w:tc>
        <w:tc>
          <w:tcPr>
            <w:tcW w:type="dxa" w:w="1944"/>
            <w:vAlign w:val="center"/>
            <w:tcMar>
              <w:top w:w="65" w:type="dxa"/>
              <w:bottom w:w="65" w:type="dxa"/>
              <w:left w:w="90" w:type="dxa"/>
              <w:right w:w="90" w:type="dxa"/>
            </w:tcMar>
            <w:shd w:fill="FFFFFF"/>
          </w:tcPr>
          <w:p>
            <w:pPr>
              <w:pStyle w:val="ToolTable"/>
              <w:jc w:val="right"/>
            </w:pPr>
            <w:r>
              <w:t>$17,500</w:t>
            </w:r>
          </w:p>
        </w:tc>
        <w:tc>
          <w:tcPr>
            <w:tcW w:type="dxa" w:w="2160"/>
            <w:vAlign w:val="center"/>
            <w:tcMar>
              <w:top w:w="65" w:type="dxa"/>
              <w:bottom w:w="65" w:type="dxa"/>
              <w:left w:w="90" w:type="dxa"/>
              <w:right w:w="90" w:type="dxa"/>
            </w:tcMar>
            <w:shd w:fill="FFFFFF"/>
          </w:tcPr>
          <w:p>
            <w:pPr>
              <w:pStyle w:val="ToolTable"/>
              <w:jc w:val="right"/>
            </w:pPr>
            <w:r>
              <w:t>$80,507</w:t>
            </w:r>
          </w:p>
        </w:tc>
        <w:tc>
          <w:tcPr>
            <w:tcW w:type="dxa" w:w="2232"/>
            <w:vAlign w:val="center"/>
            <w:tcMar>
              <w:top w:w="65" w:type="dxa"/>
              <w:bottom w:w="65" w:type="dxa"/>
              <w:left w:w="90" w:type="dxa"/>
              <w:right w:w="90" w:type="dxa"/>
            </w:tcMar>
            <w:shd w:fill="FFFFFF"/>
          </w:tcPr>
          <w:p>
            <w:pPr>
              <w:pStyle w:val="ToolTable"/>
              <w:jc w:val="right"/>
            </w:pPr>
            <w:r>
              <w:t>$40,507</w:t>
            </w:r>
          </w:p>
        </w:tc>
      </w:tr>
      <w:tr>
        <w:trPr>
          <w:cantSplit/>
        </w:trPr>
        <w:tc>
          <w:tcPr>
            <w:tcW w:type="dxa" w:w="864"/>
            <w:vAlign w:val="center"/>
            <w:tcMar>
              <w:top w:w="65" w:type="dxa"/>
              <w:bottom w:w="65" w:type="dxa"/>
              <w:left w:w="90" w:type="dxa"/>
              <w:right w:w="90" w:type="dxa"/>
            </w:tcMar>
            <w:shd w:fill="FFFFFF"/>
          </w:tcPr>
          <w:p>
            <w:pPr>
              <w:pStyle w:val="ToolTable"/>
            </w:pPr>
            <w:r>
              <w:t>8</w:t>
            </w:r>
          </w:p>
        </w:tc>
        <w:tc>
          <w:tcPr>
            <w:tcW w:type="dxa" w:w="1872"/>
            <w:vAlign w:val="center"/>
            <w:tcMar>
              <w:top w:w="65" w:type="dxa"/>
              <w:bottom w:w="65" w:type="dxa"/>
              <w:left w:w="90" w:type="dxa"/>
              <w:right w:w="90" w:type="dxa"/>
            </w:tcMar>
            <w:shd w:fill="FFFFFF"/>
          </w:tcPr>
          <w:p>
            <w:pPr>
              <w:pStyle w:val="ToolTable"/>
              <w:jc w:val="right"/>
            </w:pPr>
            <w:r>
              <w:t>$22,000</w:t>
            </w:r>
          </w:p>
        </w:tc>
        <w:tc>
          <w:tcPr>
            <w:tcW w:type="dxa" w:w="1944"/>
            <w:vAlign w:val="center"/>
            <w:tcMar>
              <w:top w:w="65" w:type="dxa"/>
              <w:bottom w:w="65" w:type="dxa"/>
              <w:left w:w="90" w:type="dxa"/>
              <w:right w:w="90" w:type="dxa"/>
            </w:tcMar>
            <w:shd w:fill="FFFFFF"/>
          </w:tcPr>
          <w:p>
            <w:pPr>
              <w:pStyle w:val="ToolTable"/>
              <w:jc w:val="right"/>
            </w:pPr>
            <w:r>
              <w:t>$32,493</w:t>
            </w:r>
          </w:p>
        </w:tc>
        <w:tc>
          <w:tcPr>
            <w:tcW w:type="dxa" w:w="2160"/>
            <w:vAlign w:val="center"/>
            <w:tcMar>
              <w:top w:w="65" w:type="dxa"/>
              <w:bottom w:w="65" w:type="dxa"/>
              <w:left w:w="90" w:type="dxa"/>
              <w:right w:w="90" w:type="dxa"/>
            </w:tcMar>
            <w:shd w:fill="FFFFFF"/>
          </w:tcPr>
          <w:p>
            <w:pPr>
              <w:pStyle w:val="ToolTable"/>
              <w:jc w:val="right"/>
            </w:pPr>
            <w:r>
              <w:t>$70,014</w:t>
            </w:r>
          </w:p>
        </w:tc>
        <w:tc>
          <w:tcPr>
            <w:tcW w:type="dxa" w:w="2232"/>
            <w:vAlign w:val="center"/>
            <w:tcMar>
              <w:top w:w="65" w:type="dxa"/>
              <w:bottom w:w="65" w:type="dxa"/>
              <w:left w:w="90" w:type="dxa"/>
              <w:right w:w="90" w:type="dxa"/>
            </w:tcMar>
            <w:shd w:fill="FFFFFF"/>
          </w:tcPr>
          <w:p>
            <w:pPr>
              <w:pStyle w:val="ToolTable"/>
              <w:jc w:val="right"/>
            </w:pPr>
            <w:r>
              <w:t>$50,014</w:t>
            </w:r>
          </w:p>
        </w:tc>
      </w:tr>
      <w:tr>
        <w:trPr>
          <w:cantSplit/>
        </w:trPr>
        <w:tc>
          <w:tcPr>
            <w:tcW w:type="dxa" w:w="864"/>
            <w:vAlign w:val="center"/>
            <w:tcMar>
              <w:top w:w="65" w:type="dxa"/>
              <w:bottom w:w="65" w:type="dxa"/>
              <w:left w:w="90" w:type="dxa"/>
              <w:right w:w="90" w:type="dxa"/>
            </w:tcMar>
            <w:shd w:fill="FFFFFF"/>
          </w:tcPr>
          <w:p>
            <w:pPr>
              <w:pStyle w:val="ToolTable"/>
            </w:pPr>
            <w:r>
              <w:t>9</w:t>
            </w:r>
          </w:p>
        </w:tc>
        <w:tc>
          <w:tcPr>
            <w:tcW w:type="dxa" w:w="1872"/>
            <w:vAlign w:val="center"/>
            <w:tcMar>
              <w:top w:w="65" w:type="dxa"/>
              <w:bottom w:w="65" w:type="dxa"/>
              <w:left w:w="90" w:type="dxa"/>
              <w:right w:w="90" w:type="dxa"/>
            </w:tcMar>
            <w:shd w:fill="FFFFFF"/>
          </w:tcPr>
          <w:p>
            <w:pPr>
              <w:pStyle w:val="ToolTable"/>
              <w:jc w:val="right"/>
            </w:pPr>
            <w:r>
              <w:t>$20,000</w:t>
            </w:r>
          </w:p>
        </w:tc>
        <w:tc>
          <w:tcPr>
            <w:tcW w:type="dxa" w:w="1944"/>
            <w:vAlign w:val="center"/>
            <w:tcMar>
              <w:top w:w="65" w:type="dxa"/>
              <w:bottom w:w="65" w:type="dxa"/>
              <w:left w:w="90" w:type="dxa"/>
              <w:right w:w="90" w:type="dxa"/>
            </w:tcMar>
            <w:shd w:fill="FFFFFF"/>
          </w:tcPr>
          <w:p>
            <w:pPr>
              <w:pStyle w:val="ToolTable"/>
              <w:jc w:val="right"/>
            </w:pPr>
            <w:r>
              <w:t>$19,500</w:t>
            </w:r>
          </w:p>
        </w:tc>
        <w:tc>
          <w:tcPr>
            <w:tcW w:type="dxa" w:w="2160"/>
            <w:vAlign w:val="center"/>
            <w:tcMar>
              <w:top w:w="65" w:type="dxa"/>
              <w:bottom w:w="65" w:type="dxa"/>
              <w:left w:w="90" w:type="dxa"/>
              <w:right w:w="90" w:type="dxa"/>
            </w:tcMar>
            <w:shd w:fill="FFFFFF"/>
          </w:tcPr>
          <w:p>
            <w:pPr>
              <w:pStyle w:val="ToolTable"/>
              <w:jc w:val="right"/>
            </w:pPr>
            <w:r>
              <w:t>$70,514</w:t>
            </w:r>
          </w:p>
        </w:tc>
        <w:tc>
          <w:tcPr>
            <w:tcW w:type="dxa" w:w="2232"/>
            <w:vAlign w:val="center"/>
            <w:tcMar>
              <w:top w:w="65" w:type="dxa"/>
              <w:bottom w:w="65" w:type="dxa"/>
              <w:left w:w="90" w:type="dxa"/>
              <w:right w:w="90" w:type="dxa"/>
            </w:tcMar>
            <w:shd w:fill="FFFFFF"/>
          </w:tcPr>
          <w:p>
            <w:pPr>
              <w:pStyle w:val="ToolTable"/>
              <w:jc w:val="right"/>
            </w:pPr>
            <w:r>
              <w:t>$50,514</w:t>
            </w:r>
          </w:p>
        </w:tc>
      </w:tr>
      <w:tr>
        <w:trPr>
          <w:cantSplit/>
        </w:trPr>
        <w:tc>
          <w:tcPr>
            <w:tcW w:type="dxa" w:w="864"/>
            <w:vAlign w:val="center"/>
            <w:tcMar>
              <w:top w:w="65" w:type="dxa"/>
              <w:bottom w:w="65" w:type="dxa"/>
              <w:left w:w="90" w:type="dxa"/>
              <w:right w:w="90" w:type="dxa"/>
            </w:tcMar>
            <w:shd w:fill="FFFFFF"/>
          </w:tcPr>
          <w:p>
            <w:pPr>
              <w:pStyle w:val="ToolTable"/>
            </w:pPr>
            <w:r>
              <w:t>10</w:t>
            </w:r>
          </w:p>
        </w:tc>
        <w:tc>
          <w:tcPr>
            <w:tcW w:type="dxa" w:w="1872"/>
            <w:vAlign w:val="center"/>
            <w:tcMar>
              <w:top w:w="65" w:type="dxa"/>
              <w:bottom w:w="65" w:type="dxa"/>
              <w:left w:w="90" w:type="dxa"/>
              <w:right w:w="90" w:type="dxa"/>
            </w:tcMar>
            <w:shd w:fill="FFFFFF"/>
          </w:tcPr>
          <w:p>
            <w:pPr>
              <w:pStyle w:val="ToolTable"/>
              <w:jc w:val="right"/>
            </w:pPr>
            <w:r>
              <w:t>$24,000</w:t>
            </w:r>
          </w:p>
        </w:tc>
        <w:tc>
          <w:tcPr>
            <w:tcW w:type="dxa" w:w="1944"/>
            <w:vAlign w:val="center"/>
            <w:tcMar>
              <w:top w:w="65" w:type="dxa"/>
              <w:bottom w:w="65" w:type="dxa"/>
              <w:left w:w="90" w:type="dxa"/>
              <w:right w:w="90" w:type="dxa"/>
            </w:tcMar>
            <w:shd w:fill="FFFFFF"/>
          </w:tcPr>
          <w:p>
            <w:pPr>
              <w:pStyle w:val="ToolTable"/>
              <w:jc w:val="right"/>
            </w:pPr>
            <w:r>
              <w:t>$21,500</w:t>
            </w:r>
          </w:p>
        </w:tc>
        <w:tc>
          <w:tcPr>
            <w:tcW w:type="dxa" w:w="2160"/>
            <w:vAlign w:val="center"/>
            <w:tcMar>
              <w:top w:w="65" w:type="dxa"/>
              <w:bottom w:w="65" w:type="dxa"/>
              <w:left w:w="90" w:type="dxa"/>
              <w:right w:w="90" w:type="dxa"/>
            </w:tcMar>
            <w:shd w:fill="FFFFFF"/>
          </w:tcPr>
          <w:p>
            <w:pPr>
              <w:pStyle w:val="ToolTable"/>
              <w:jc w:val="right"/>
            </w:pPr>
            <w:r>
              <w:t>$73,014</w:t>
            </w:r>
          </w:p>
        </w:tc>
        <w:tc>
          <w:tcPr>
            <w:tcW w:type="dxa" w:w="2232"/>
            <w:vAlign w:val="center"/>
            <w:tcMar>
              <w:top w:w="65" w:type="dxa"/>
              <w:bottom w:w="65" w:type="dxa"/>
              <w:left w:w="90" w:type="dxa"/>
              <w:right w:w="90" w:type="dxa"/>
            </w:tcMar>
            <w:shd w:fill="FFFFFF"/>
          </w:tcPr>
          <w:p>
            <w:pPr>
              <w:pStyle w:val="ToolTable"/>
              <w:jc w:val="right"/>
            </w:pPr>
            <w:r>
              <w:t>$53,014</w:t>
            </w:r>
          </w:p>
        </w:tc>
      </w:tr>
      <w:tr>
        <w:trPr>
          <w:cantSplit/>
        </w:trPr>
        <w:tc>
          <w:tcPr>
            <w:tcW w:type="dxa" w:w="864"/>
            <w:vAlign w:val="center"/>
            <w:tcMar>
              <w:top w:w="65" w:type="dxa"/>
              <w:bottom w:w="65" w:type="dxa"/>
              <w:left w:w="90" w:type="dxa"/>
              <w:right w:w="90" w:type="dxa"/>
            </w:tcMar>
            <w:shd w:fill="FFFFFF"/>
          </w:tcPr>
          <w:p>
            <w:pPr>
              <w:pStyle w:val="ToolTable"/>
            </w:pPr>
            <w:r>
              <w:t>11</w:t>
            </w:r>
          </w:p>
        </w:tc>
        <w:tc>
          <w:tcPr>
            <w:tcW w:type="dxa" w:w="1872"/>
            <w:vAlign w:val="center"/>
            <w:tcMar>
              <w:top w:w="65" w:type="dxa"/>
              <w:bottom w:w="65" w:type="dxa"/>
              <w:left w:w="90" w:type="dxa"/>
              <w:right w:w="90" w:type="dxa"/>
            </w:tcMar>
            <w:shd w:fill="FFFFFF"/>
          </w:tcPr>
          <w:p>
            <w:pPr>
              <w:pStyle w:val="ToolTable"/>
              <w:jc w:val="right"/>
            </w:pPr>
            <w:r>
              <w:t>$22,000</w:t>
            </w:r>
          </w:p>
        </w:tc>
        <w:tc>
          <w:tcPr>
            <w:tcW w:type="dxa" w:w="1944"/>
            <w:vAlign w:val="center"/>
            <w:tcMar>
              <w:top w:w="65" w:type="dxa"/>
              <w:bottom w:w="65" w:type="dxa"/>
              <w:left w:w="90" w:type="dxa"/>
              <w:right w:w="90" w:type="dxa"/>
            </w:tcMar>
            <w:shd w:fill="FFFFFF"/>
          </w:tcPr>
          <w:p>
            <w:pPr>
              <w:pStyle w:val="ToolTable"/>
              <w:jc w:val="right"/>
            </w:pPr>
            <w:r>
              <w:t>$17,500</w:t>
            </w:r>
          </w:p>
        </w:tc>
        <w:tc>
          <w:tcPr>
            <w:tcW w:type="dxa" w:w="2160"/>
            <w:vAlign w:val="center"/>
            <w:tcMar>
              <w:top w:w="65" w:type="dxa"/>
              <w:bottom w:w="65" w:type="dxa"/>
              <w:left w:w="90" w:type="dxa"/>
              <w:right w:w="90" w:type="dxa"/>
            </w:tcMar>
            <w:shd w:fill="FFFFFF"/>
          </w:tcPr>
          <w:p>
            <w:pPr>
              <w:pStyle w:val="ToolTable"/>
              <w:jc w:val="right"/>
            </w:pPr>
            <w:r>
              <w:t>$77,514</w:t>
            </w:r>
          </w:p>
        </w:tc>
        <w:tc>
          <w:tcPr>
            <w:tcW w:type="dxa" w:w="2232"/>
            <w:vAlign w:val="center"/>
            <w:tcMar>
              <w:top w:w="65" w:type="dxa"/>
              <w:bottom w:w="65" w:type="dxa"/>
              <w:left w:w="90" w:type="dxa"/>
              <w:right w:w="90" w:type="dxa"/>
            </w:tcMar>
            <w:shd w:fill="FFFFFF"/>
          </w:tcPr>
          <w:p>
            <w:pPr>
              <w:pStyle w:val="ToolTable"/>
              <w:jc w:val="right"/>
            </w:pPr>
            <w:r>
              <w:t>$57,514</w:t>
            </w:r>
          </w:p>
        </w:tc>
      </w:tr>
      <w:tr>
        <w:trPr>
          <w:cantSplit/>
        </w:trPr>
        <w:tc>
          <w:tcPr>
            <w:tcW w:type="dxa" w:w="864"/>
            <w:vAlign w:val="center"/>
            <w:tcMar>
              <w:top w:w="65" w:type="dxa"/>
              <w:bottom w:w="65" w:type="dxa"/>
              <w:left w:w="90" w:type="dxa"/>
              <w:right w:w="90" w:type="dxa"/>
            </w:tcMar>
            <w:shd w:fill="FFFFFF"/>
          </w:tcPr>
          <w:p>
            <w:pPr>
              <w:pStyle w:val="ToolTable"/>
            </w:pPr>
            <w:r>
              <w:t>12</w:t>
            </w:r>
          </w:p>
        </w:tc>
        <w:tc>
          <w:tcPr>
            <w:tcW w:type="dxa" w:w="1872"/>
            <w:vAlign w:val="center"/>
            <w:tcMar>
              <w:top w:w="65" w:type="dxa"/>
              <w:bottom w:w="65" w:type="dxa"/>
              <w:left w:w="90" w:type="dxa"/>
              <w:right w:w="90" w:type="dxa"/>
            </w:tcMar>
            <w:shd w:fill="FFFFFF"/>
          </w:tcPr>
          <w:p>
            <w:pPr>
              <w:pStyle w:val="ToolTable"/>
              <w:jc w:val="right"/>
            </w:pPr>
            <w:r>
              <w:t>$22,000</w:t>
            </w:r>
          </w:p>
        </w:tc>
        <w:tc>
          <w:tcPr>
            <w:tcW w:type="dxa" w:w="1944"/>
            <w:vAlign w:val="center"/>
            <w:tcMar>
              <w:top w:w="65" w:type="dxa"/>
              <w:bottom w:w="65" w:type="dxa"/>
              <w:left w:w="90" w:type="dxa"/>
              <w:right w:w="90" w:type="dxa"/>
            </w:tcMar>
            <w:shd w:fill="FFFFFF"/>
          </w:tcPr>
          <w:p>
            <w:pPr>
              <w:pStyle w:val="ToolTable"/>
              <w:jc w:val="right"/>
            </w:pPr>
            <w:r>
              <w:t>$21,500</w:t>
            </w:r>
          </w:p>
        </w:tc>
        <w:tc>
          <w:tcPr>
            <w:tcW w:type="dxa" w:w="2160"/>
            <w:vAlign w:val="center"/>
            <w:tcMar>
              <w:top w:w="65" w:type="dxa"/>
              <w:bottom w:w="65" w:type="dxa"/>
              <w:left w:w="90" w:type="dxa"/>
              <w:right w:w="90" w:type="dxa"/>
            </w:tcMar>
            <w:shd w:fill="FFFFFF"/>
          </w:tcPr>
          <w:p>
            <w:pPr>
              <w:pStyle w:val="ToolTable"/>
              <w:jc w:val="right"/>
            </w:pPr>
            <w:r>
              <w:t>$78,014</w:t>
            </w:r>
          </w:p>
        </w:tc>
        <w:tc>
          <w:tcPr>
            <w:tcW w:type="dxa" w:w="2232"/>
            <w:vAlign w:val="center"/>
            <w:tcMar>
              <w:top w:w="65" w:type="dxa"/>
              <w:bottom w:w="65" w:type="dxa"/>
              <w:left w:w="90" w:type="dxa"/>
              <w:right w:w="90" w:type="dxa"/>
            </w:tcMar>
            <w:shd w:fill="FFFFFF"/>
          </w:tcPr>
          <w:p>
            <w:pPr>
              <w:pStyle w:val="ToolTable"/>
              <w:jc w:val="right"/>
            </w:pPr>
            <w:r>
              <w:t>$58,014</w:t>
            </w:r>
          </w:p>
        </w:tc>
      </w:tr>
      <w:tr>
        <w:trPr>
          <w:cantSplit/>
        </w:trPr>
        <w:tc>
          <w:tcPr>
            <w:tcW w:type="dxa" w:w="864"/>
            <w:vAlign w:val="center"/>
            <w:tcMar>
              <w:top w:w="65" w:type="dxa"/>
              <w:bottom w:w="65" w:type="dxa"/>
              <w:left w:w="90" w:type="dxa"/>
              <w:right w:w="90" w:type="dxa"/>
            </w:tcMar>
            <w:shd w:fill="FFFFFF"/>
          </w:tcPr>
          <w:p>
            <w:pPr>
              <w:pStyle w:val="ToolTable"/>
            </w:pPr>
            <w:r>
              <w:t>13</w:t>
            </w:r>
          </w:p>
        </w:tc>
        <w:tc>
          <w:tcPr>
            <w:tcW w:type="dxa" w:w="1872"/>
            <w:vAlign w:val="center"/>
            <w:tcMar>
              <w:top w:w="65" w:type="dxa"/>
              <w:bottom w:w="65" w:type="dxa"/>
              <w:left w:w="90" w:type="dxa"/>
              <w:right w:w="90" w:type="dxa"/>
            </w:tcMar>
            <w:shd w:fill="FFFFFF"/>
          </w:tcPr>
          <w:p>
            <w:pPr>
              <w:pStyle w:val="ToolTable"/>
              <w:jc w:val="right"/>
            </w:pPr>
            <w:r>
              <w:t>$22,000</w:t>
            </w:r>
          </w:p>
        </w:tc>
        <w:tc>
          <w:tcPr>
            <w:tcW w:type="dxa" w:w="1944"/>
            <w:vAlign w:val="center"/>
            <w:tcMar>
              <w:top w:w="65" w:type="dxa"/>
              <w:bottom w:w="65" w:type="dxa"/>
              <w:left w:w="90" w:type="dxa"/>
              <w:right w:w="90" w:type="dxa"/>
            </w:tcMar>
            <w:shd w:fill="FFFFFF"/>
          </w:tcPr>
          <w:p>
            <w:pPr>
              <w:pStyle w:val="ToolTable"/>
              <w:jc w:val="right"/>
            </w:pPr>
            <w:r>
              <w:t>$20,593</w:t>
            </w:r>
          </w:p>
        </w:tc>
        <w:tc>
          <w:tcPr>
            <w:tcW w:type="dxa" w:w="2160"/>
            <w:vAlign w:val="center"/>
            <w:tcMar>
              <w:top w:w="65" w:type="dxa"/>
              <w:bottom w:w="65" w:type="dxa"/>
              <w:left w:w="90" w:type="dxa"/>
              <w:right w:w="90" w:type="dxa"/>
            </w:tcMar>
            <w:shd w:fill="FFFFFF"/>
          </w:tcPr>
          <w:p>
            <w:pPr>
              <w:pStyle w:val="ToolTable"/>
              <w:jc w:val="right"/>
            </w:pPr>
            <w:r>
              <w:t>$79,421</w:t>
            </w:r>
          </w:p>
        </w:tc>
        <w:tc>
          <w:tcPr>
            <w:tcW w:type="dxa" w:w="2232"/>
            <w:vAlign w:val="center"/>
            <w:tcMar>
              <w:top w:w="65" w:type="dxa"/>
              <w:bottom w:w="65" w:type="dxa"/>
              <w:left w:w="90" w:type="dxa"/>
              <w:right w:w="90" w:type="dxa"/>
            </w:tcMar>
            <w:shd w:fill="FFFFFF"/>
          </w:tcPr>
          <w:p>
            <w:pPr>
              <w:pStyle w:val="ToolTable"/>
              <w:jc w:val="right"/>
            </w:pPr>
            <w:r>
              <w:t>$59,421</w:t>
            </w:r>
          </w:p>
        </w:tc>
      </w:tr>
    </w:tbl>
    <w:p>
      <w:pPr>
        <w:pStyle w:val="ToolBody"/>
        <w:spacing w:after="20"/>
      </w:pPr>
    </w:p>
    <w:p>
      <w:pPr>
        <w:pStyle w:val="ToolBody"/>
      </w:pPr>
      <w:r>
        <w:t>Payment construction: operating costs repeat $14,500, $16,500, $12,500, and $16,500 for Weeks 1–12, then $9,600 in Week 13. Clinical labor is $5,000 in each of Weeks 1–12. Debt of $8,492.93 and provisions of $2,500 occur in Weeks 4, 8, and 13.</w:t>
      </w:r>
    </w:p>
    <w:p>
      <w:pPr>
        <w:pStyle w:val="ToolBody"/>
      </w:pPr>
      <w:r>
        <w:t>Outflows include recurring costs, clinical labor, loan payments, and cash earmarked for tax and equipment. Stress moves $20,000 of receipts from Week 2 to Week 8 and adds an unexpected $20,000 repair in Week 4. The repair is additional to the capital work funded at closing.</w:t>
      </w:r>
    </w:p>
    <w:p>
      <w:pPr>
        <w:pStyle w:val="ToolBody"/>
      </w:pPr>
      <w:r>
        <w:t>Base-case low: $70,014.14 in Week 8. Stress low: $33,007.07 in Week 4, or $26,992.93 below the chosen buffer. Preserving that buffer would require $106,992.93 of opening cash under the same assumptions, or another confirmed response with its own costs reflected. Ending stress cash is $59,421.21; looking only at Week 13 misses the earlier pressure.</w:t>
      </w:r>
    </w:p>
    <w:p>
      <w:pPr>
        <w:pStyle w:val="ToolTitle"/>
        <w:pageBreakBefore/>
      </w:pPr>
      <w:r>
        <w:t>Tool 10 Your weekly forecast</w:t>
      </w:r>
    </w:p>
    <w:p>
      <w:pPr>
        <w:pStyle w:val="ToolReference"/>
      </w:pPr>
      <w:r>
        <w:t>Chapters 16 and 50</w:t>
      </w:r>
    </w:p>
    <w:p>
      <w:pPr>
        <w:pStyle w:val="ToolBody"/>
      </w:pPr>
      <w:r>
        <w:t>Use one row per week, supported by a payment calendar. These are manual fields, not spreadsheet formulas. Copy the page when rolling the forecast forward.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20"/>
        <w:gridCol w:w="1872"/>
        <w:gridCol w:w="2232"/>
        <w:gridCol w:w="2232"/>
        <w:gridCol w:w="2016"/>
      </w:tblGrid>
      <w:tr>
        <w:trPr>
          <w:cantSplit/>
          <w:tblHeader/>
        </w:trPr>
        <w:tc>
          <w:tcPr>
            <w:tcW w:type="dxa" w:w="720"/>
            <w:vAlign w:val="center"/>
            <w:tcMar>
              <w:top w:w="65" w:type="dxa"/>
              <w:bottom w:w="65" w:type="dxa"/>
              <w:left w:w="90" w:type="dxa"/>
              <w:right w:w="90" w:type="dxa"/>
            </w:tcMar>
            <w:shd w:fill="E5E7EB"/>
          </w:tcPr>
          <w:p>
            <w:pPr>
              <w:pStyle w:val="ToolTable"/>
            </w:pPr>
            <w:r>
              <w:rPr>
                <w:b/>
              </w:rPr>
              <w:t>Week</w:t>
            </w:r>
          </w:p>
        </w:tc>
        <w:tc>
          <w:tcPr>
            <w:tcW w:type="dxa" w:w="1872"/>
            <w:vAlign w:val="center"/>
            <w:tcMar>
              <w:top w:w="65" w:type="dxa"/>
              <w:bottom w:w="65" w:type="dxa"/>
              <w:left w:w="90" w:type="dxa"/>
              <w:right w:w="90" w:type="dxa"/>
            </w:tcMar>
            <w:shd w:fill="E5E7EB"/>
          </w:tcPr>
          <w:p>
            <w:pPr>
              <w:pStyle w:val="ToolTable"/>
            </w:pPr>
            <w:r>
              <w:rPr>
                <w:b/>
              </w:rPr>
              <w:t>Opening cash</w:t>
            </w:r>
          </w:p>
        </w:tc>
        <w:tc>
          <w:tcPr>
            <w:tcW w:type="dxa" w:w="2232"/>
            <w:vAlign w:val="center"/>
            <w:tcMar>
              <w:top w:w="65" w:type="dxa"/>
              <w:bottom w:w="65" w:type="dxa"/>
              <w:left w:w="90" w:type="dxa"/>
              <w:right w:w="90" w:type="dxa"/>
            </w:tcMar>
            <w:shd w:fill="E5E7EB"/>
          </w:tcPr>
          <w:p>
            <w:pPr>
              <w:pStyle w:val="ToolTable"/>
            </w:pPr>
            <w:r>
              <w:rPr>
                <w:b/>
              </w:rPr>
              <w:t>Receipts and funding</w:t>
            </w:r>
          </w:p>
        </w:tc>
        <w:tc>
          <w:tcPr>
            <w:tcW w:type="dxa" w:w="2232"/>
            <w:vAlign w:val="center"/>
            <w:tcMar>
              <w:top w:w="65" w:type="dxa"/>
              <w:bottom w:w="65" w:type="dxa"/>
              <w:left w:w="90" w:type="dxa"/>
              <w:right w:w="90" w:type="dxa"/>
            </w:tcMar>
            <w:shd w:fill="E5E7EB"/>
          </w:tcPr>
          <w:p>
            <w:pPr>
              <w:pStyle w:val="ToolTable"/>
            </w:pPr>
            <w:r>
              <w:rPr>
                <w:b/>
              </w:rPr>
              <w:t>Payments and provisions</w:t>
            </w:r>
          </w:p>
        </w:tc>
        <w:tc>
          <w:tcPr>
            <w:tcW w:type="dxa" w:w="2016"/>
            <w:vAlign w:val="center"/>
            <w:tcMar>
              <w:top w:w="65" w:type="dxa"/>
              <w:bottom w:w="65" w:type="dxa"/>
              <w:left w:w="90" w:type="dxa"/>
              <w:right w:w="90" w:type="dxa"/>
            </w:tcMar>
            <w:shd w:fill="E5E7EB"/>
          </w:tcPr>
          <w:p>
            <w:pPr>
              <w:pStyle w:val="ToolTable"/>
            </w:pPr>
            <w:r>
              <w:rPr>
                <w:b/>
              </w:rPr>
              <w:t>Ending cash</w:t>
            </w:r>
          </w:p>
        </w:tc>
      </w:tr>
      <w:tr>
        <w:trPr>
          <w:cantSplit/>
        </w:trPr>
        <w:tc>
          <w:tcPr>
            <w:tcW w:type="dxa" w:w="720"/>
            <w:vAlign w:val="center"/>
            <w:tcMar>
              <w:top w:w="65" w:type="dxa"/>
              <w:bottom w:w="65" w:type="dxa"/>
              <w:left w:w="90" w:type="dxa"/>
              <w:right w:w="90" w:type="dxa"/>
            </w:tcMar>
            <w:shd w:fill="FFFFFF"/>
          </w:tcPr>
          <w:p>
            <w:pPr>
              <w:pStyle w:val="ToolTable"/>
            </w:pPr>
            <w:r>
              <w:t>1</w:t>
            </w:r>
          </w:p>
        </w:tc>
        <w:tc>
          <w:tcPr>
            <w:tcW w:type="dxa" w:w="187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016"/>
            <w:vAlign w:val="center"/>
            <w:tcMar>
              <w:top w:w="65" w:type="dxa"/>
              <w:bottom w:w="65" w:type="dxa"/>
              <w:left w:w="90" w:type="dxa"/>
              <w:right w:w="90" w:type="dxa"/>
            </w:tcMar>
            <w:shd w:fill="FFFFFF"/>
          </w:tcPr>
          <w:p>
            <w:pPr>
              <w:pStyle w:val="ToolTable"/>
            </w:pPr>
            <w:r/>
          </w:p>
        </w:tc>
      </w:tr>
      <w:tr>
        <w:trPr>
          <w:cantSplit/>
        </w:trPr>
        <w:tc>
          <w:tcPr>
            <w:tcW w:type="dxa" w:w="720"/>
            <w:vAlign w:val="center"/>
            <w:tcMar>
              <w:top w:w="65" w:type="dxa"/>
              <w:bottom w:w="65" w:type="dxa"/>
              <w:left w:w="90" w:type="dxa"/>
              <w:right w:w="90" w:type="dxa"/>
            </w:tcMar>
            <w:shd w:fill="FFFFFF"/>
          </w:tcPr>
          <w:p>
            <w:pPr>
              <w:pStyle w:val="ToolTable"/>
            </w:pPr>
            <w:r>
              <w:t>2</w:t>
            </w:r>
          </w:p>
        </w:tc>
        <w:tc>
          <w:tcPr>
            <w:tcW w:type="dxa" w:w="187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016"/>
            <w:vAlign w:val="center"/>
            <w:tcMar>
              <w:top w:w="65" w:type="dxa"/>
              <w:bottom w:w="65" w:type="dxa"/>
              <w:left w:w="90" w:type="dxa"/>
              <w:right w:w="90" w:type="dxa"/>
            </w:tcMar>
            <w:shd w:fill="FFFFFF"/>
          </w:tcPr>
          <w:p>
            <w:pPr>
              <w:pStyle w:val="ToolTable"/>
            </w:pPr>
            <w:r/>
          </w:p>
        </w:tc>
      </w:tr>
      <w:tr>
        <w:trPr>
          <w:cantSplit/>
        </w:trPr>
        <w:tc>
          <w:tcPr>
            <w:tcW w:type="dxa" w:w="720"/>
            <w:vAlign w:val="center"/>
            <w:tcMar>
              <w:top w:w="65" w:type="dxa"/>
              <w:bottom w:w="65" w:type="dxa"/>
              <w:left w:w="90" w:type="dxa"/>
              <w:right w:w="90" w:type="dxa"/>
            </w:tcMar>
            <w:shd w:fill="FFFFFF"/>
          </w:tcPr>
          <w:p>
            <w:pPr>
              <w:pStyle w:val="ToolTable"/>
            </w:pPr>
            <w:r>
              <w:t>3</w:t>
            </w:r>
          </w:p>
        </w:tc>
        <w:tc>
          <w:tcPr>
            <w:tcW w:type="dxa" w:w="187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016"/>
            <w:vAlign w:val="center"/>
            <w:tcMar>
              <w:top w:w="65" w:type="dxa"/>
              <w:bottom w:w="65" w:type="dxa"/>
              <w:left w:w="90" w:type="dxa"/>
              <w:right w:w="90" w:type="dxa"/>
            </w:tcMar>
            <w:shd w:fill="FFFFFF"/>
          </w:tcPr>
          <w:p>
            <w:pPr>
              <w:pStyle w:val="ToolTable"/>
            </w:pPr>
            <w:r/>
          </w:p>
        </w:tc>
      </w:tr>
      <w:tr>
        <w:trPr>
          <w:cantSplit/>
        </w:trPr>
        <w:tc>
          <w:tcPr>
            <w:tcW w:type="dxa" w:w="720"/>
            <w:vAlign w:val="center"/>
            <w:tcMar>
              <w:top w:w="65" w:type="dxa"/>
              <w:bottom w:w="65" w:type="dxa"/>
              <w:left w:w="90" w:type="dxa"/>
              <w:right w:w="90" w:type="dxa"/>
            </w:tcMar>
            <w:shd w:fill="FFFFFF"/>
          </w:tcPr>
          <w:p>
            <w:pPr>
              <w:pStyle w:val="ToolTable"/>
            </w:pPr>
            <w:r>
              <w:t>4</w:t>
            </w:r>
          </w:p>
        </w:tc>
        <w:tc>
          <w:tcPr>
            <w:tcW w:type="dxa" w:w="187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016"/>
            <w:vAlign w:val="center"/>
            <w:tcMar>
              <w:top w:w="65" w:type="dxa"/>
              <w:bottom w:w="65" w:type="dxa"/>
              <w:left w:w="90" w:type="dxa"/>
              <w:right w:w="90" w:type="dxa"/>
            </w:tcMar>
            <w:shd w:fill="FFFFFF"/>
          </w:tcPr>
          <w:p>
            <w:pPr>
              <w:pStyle w:val="ToolTable"/>
            </w:pPr>
            <w:r/>
          </w:p>
        </w:tc>
      </w:tr>
      <w:tr>
        <w:trPr>
          <w:cantSplit/>
        </w:trPr>
        <w:tc>
          <w:tcPr>
            <w:tcW w:type="dxa" w:w="720"/>
            <w:vAlign w:val="center"/>
            <w:tcMar>
              <w:top w:w="65" w:type="dxa"/>
              <w:bottom w:w="65" w:type="dxa"/>
              <w:left w:w="90" w:type="dxa"/>
              <w:right w:w="90" w:type="dxa"/>
            </w:tcMar>
            <w:shd w:fill="FFFFFF"/>
          </w:tcPr>
          <w:p>
            <w:pPr>
              <w:pStyle w:val="ToolTable"/>
            </w:pPr>
            <w:r>
              <w:t>5</w:t>
            </w:r>
          </w:p>
        </w:tc>
        <w:tc>
          <w:tcPr>
            <w:tcW w:type="dxa" w:w="187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016"/>
            <w:vAlign w:val="center"/>
            <w:tcMar>
              <w:top w:w="65" w:type="dxa"/>
              <w:bottom w:w="65" w:type="dxa"/>
              <w:left w:w="90" w:type="dxa"/>
              <w:right w:w="90" w:type="dxa"/>
            </w:tcMar>
            <w:shd w:fill="FFFFFF"/>
          </w:tcPr>
          <w:p>
            <w:pPr>
              <w:pStyle w:val="ToolTable"/>
            </w:pPr>
            <w:r/>
          </w:p>
        </w:tc>
      </w:tr>
      <w:tr>
        <w:trPr>
          <w:cantSplit/>
        </w:trPr>
        <w:tc>
          <w:tcPr>
            <w:tcW w:type="dxa" w:w="720"/>
            <w:vAlign w:val="center"/>
            <w:tcMar>
              <w:top w:w="65" w:type="dxa"/>
              <w:bottom w:w="65" w:type="dxa"/>
              <w:left w:w="90" w:type="dxa"/>
              <w:right w:w="90" w:type="dxa"/>
            </w:tcMar>
            <w:shd w:fill="FFFFFF"/>
          </w:tcPr>
          <w:p>
            <w:pPr>
              <w:pStyle w:val="ToolTable"/>
            </w:pPr>
            <w:r>
              <w:t>6</w:t>
            </w:r>
          </w:p>
        </w:tc>
        <w:tc>
          <w:tcPr>
            <w:tcW w:type="dxa" w:w="187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016"/>
            <w:vAlign w:val="center"/>
            <w:tcMar>
              <w:top w:w="65" w:type="dxa"/>
              <w:bottom w:w="65" w:type="dxa"/>
              <w:left w:w="90" w:type="dxa"/>
              <w:right w:w="90" w:type="dxa"/>
            </w:tcMar>
            <w:shd w:fill="FFFFFF"/>
          </w:tcPr>
          <w:p>
            <w:pPr>
              <w:pStyle w:val="ToolTable"/>
            </w:pPr>
            <w:r/>
          </w:p>
        </w:tc>
      </w:tr>
      <w:tr>
        <w:trPr>
          <w:cantSplit/>
        </w:trPr>
        <w:tc>
          <w:tcPr>
            <w:tcW w:type="dxa" w:w="720"/>
            <w:vAlign w:val="center"/>
            <w:tcMar>
              <w:top w:w="65" w:type="dxa"/>
              <w:bottom w:w="65" w:type="dxa"/>
              <w:left w:w="90" w:type="dxa"/>
              <w:right w:w="90" w:type="dxa"/>
            </w:tcMar>
            <w:shd w:fill="FFFFFF"/>
          </w:tcPr>
          <w:p>
            <w:pPr>
              <w:pStyle w:val="ToolTable"/>
            </w:pPr>
            <w:r>
              <w:t>7</w:t>
            </w:r>
          </w:p>
        </w:tc>
        <w:tc>
          <w:tcPr>
            <w:tcW w:type="dxa" w:w="187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016"/>
            <w:vAlign w:val="center"/>
            <w:tcMar>
              <w:top w:w="65" w:type="dxa"/>
              <w:bottom w:w="65" w:type="dxa"/>
              <w:left w:w="90" w:type="dxa"/>
              <w:right w:w="90" w:type="dxa"/>
            </w:tcMar>
            <w:shd w:fill="FFFFFF"/>
          </w:tcPr>
          <w:p>
            <w:pPr>
              <w:pStyle w:val="ToolTable"/>
            </w:pPr>
            <w:r/>
          </w:p>
        </w:tc>
      </w:tr>
      <w:tr>
        <w:trPr>
          <w:cantSplit/>
        </w:trPr>
        <w:tc>
          <w:tcPr>
            <w:tcW w:type="dxa" w:w="720"/>
            <w:vAlign w:val="center"/>
            <w:tcMar>
              <w:top w:w="65" w:type="dxa"/>
              <w:bottom w:w="65" w:type="dxa"/>
              <w:left w:w="90" w:type="dxa"/>
              <w:right w:w="90" w:type="dxa"/>
            </w:tcMar>
            <w:shd w:fill="FFFFFF"/>
          </w:tcPr>
          <w:p>
            <w:pPr>
              <w:pStyle w:val="ToolTable"/>
            </w:pPr>
            <w:r>
              <w:t>8</w:t>
            </w:r>
          </w:p>
        </w:tc>
        <w:tc>
          <w:tcPr>
            <w:tcW w:type="dxa" w:w="187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016"/>
            <w:vAlign w:val="center"/>
            <w:tcMar>
              <w:top w:w="65" w:type="dxa"/>
              <w:bottom w:w="65" w:type="dxa"/>
              <w:left w:w="90" w:type="dxa"/>
              <w:right w:w="90" w:type="dxa"/>
            </w:tcMar>
            <w:shd w:fill="FFFFFF"/>
          </w:tcPr>
          <w:p>
            <w:pPr>
              <w:pStyle w:val="ToolTable"/>
            </w:pPr>
            <w:r/>
          </w:p>
        </w:tc>
      </w:tr>
      <w:tr>
        <w:trPr>
          <w:cantSplit/>
        </w:trPr>
        <w:tc>
          <w:tcPr>
            <w:tcW w:type="dxa" w:w="720"/>
            <w:vAlign w:val="center"/>
            <w:tcMar>
              <w:top w:w="65" w:type="dxa"/>
              <w:bottom w:w="65" w:type="dxa"/>
              <w:left w:w="90" w:type="dxa"/>
              <w:right w:w="90" w:type="dxa"/>
            </w:tcMar>
            <w:shd w:fill="FFFFFF"/>
          </w:tcPr>
          <w:p>
            <w:pPr>
              <w:pStyle w:val="ToolTable"/>
            </w:pPr>
            <w:r>
              <w:t>9</w:t>
            </w:r>
          </w:p>
        </w:tc>
        <w:tc>
          <w:tcPr>
            <w:tcW w:type="dxa" w:w="187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016"/>
            <w:vAlign w:val="center"/>
            <w:tcMar>
              <w:top w:w="65" w:type="dxa"/>
              <w:bottom w:w="65" w:type="dxa"/>
              <w:left w:w="90" w:type="dxa"/>
              <w:right w:w="90" w:type="dxa"/>
            </w:tcMar>
            <w:shd w:fill="FFFFFF"/>
          </w:tcPr>
          <w:p>
            <w:pPr>
              <w:pStyle w:val="ToolTable"/>
            </w:pPr>
            <w:r/>
          </w:p>
        </w:tc>
      </w:tr>
      <w:tr>
        <w:trPr>
          <w:cantSplit/>
        </w:trPr>
        <w:tc>
          <w:tcPr>
            <w:tcW w:type="dxa" w:w="720"/>
            <w:vAlign w:val="center"/>
            <w:tcMar>
              <w:top w:w="65" w:type="dxa"/>
              <w:bottom w:w="65" w:type="dxa"/>
              <w:left w:w="90" w:type="dxa"/>
              <w:right w:w="90" w:type="dxa"/>
            </w:tcMar>
            <w:shd w:fill="FFFFFF"/>
          </w:tcPr>
          <w:p>
            <w:pPr>
              <w:pStyle w:val="ToolTable"/>
            </w:pPr>
            <w:r>
              <w:t>10</w:t>
            </w:r>
          </w:p>
        </w:tc>
        <w:tc>
          <w:tcPr>
            <w:tcW w:type="dxa" w:w="187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016"/>
            <w:vAlign w:val="center"/>
            <w:tcMar>
              <w:top w:w="65" w:type="dxa"/>
              <w:bottom w:w="65" w:type="dxa"/>
              <w:left w:w="90" w:type="dxa"/>
              <w:right w:w="90" w:type="dxa"/>
            </w:tcMar>
            <w:shd w:fill="FFFFFF"/>
          </w:tcPr>
          <w:p>
            <w:pPr>
              <w:pStyle w:val="ToolTable"/>
            </w:pPr>
            <w:r/>
          </w:p>
        </w:tc>
      </w:tr>
      <w:tr>
        <w:trPr>
          <w:cantSplit/>
        </w:trPr>
        <w:tc>
          <w:tcPr>
            <w:tcW w:type="dxa" w:w="720"/>
            <w:vAlign w:val="center"/>
            <w:tcMar>
              <w:top w:w="65" w:type="dxa"/>
              <w:bottom w:w="65" w:type="dxa"/>
              <w:left w:w="90" w:type="dxa"/>
              <w:right w:w="90" w:type="dxa"/>
            </w:tcMar>
            <w:shd w:fill="FFFFFF"/>
          </w:tcPr>
          <w:p>
            <w:pPr>
              <w:pStyle w:val="ToolTable"/>
            </w:pPr>
            <w:r>
              <w:t>11</w:t>
            </w:r>
          </w:p>
        </w:tc>
        <w:tc>
          <w:tcPr>
            <w:tcW w:type="dxa" w:w="187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016"/>
            <w:vAlign w:val="center"/>
            <w:tcMar>
              <w:top w:w="65" w:type="dxa"/>
              <w:bottom w:w="65" w:type="dxa"/>
              <w:left w:w="90" w:type="dxa"/>
              <w:right w:w="90" w:type="dxa"/>
            </w:tcMar>
            <w:shd w:fill="FFFFFF"/>
          </w:tcPr>
          <w:p>
            <w:pPr>
              <w:pStyle w:val="ToolTable"/>
            </w:pPr>
            <w:r/>
          </w:p>
        </w:tc>
      </w:tr>
      <w:tr>
        <w:trPr>
          <w:cantSplit/>
        </w:trPr>
        <w:tc>
          <w:tcPr>
            <w:tcW w:type="dxa" w:w="720"/>
            <w:vAlign w:val="center"/>
            <w:tcMar>
              <w:top w:w="65" w:type="dxa"/>
              <w:bottom w:w="65" w:type="dxa"/>
              <w:left w:w="90" w:type="dxa"/>
              <w:right w:w="90" w:type="dxa"/>
            </w:tcMar>
            <w:shd w:fill="FFFFFF"/>
          </w:tcPr>
          <w:p>
            <w:pPr>
              <w:pStyle w:val="ToolTable"/>
            </w:pPr>
            <w:r>
              <w:t>12</w:t>
            </w:r>
          </w:p>
        </w:tc>
        <w:tc>
          <w:tcPr>
            <w:tcW w:type="dxa" w:w="187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016"/>
            <w:vAlign w:val="center"/>
            <w:tcMar>
              <w:top w:w="65" w:type="dxa"/>
              <w:bottom w:w="65" w:type="dxa"/>
              <w:left w:w="90" w:type="dxa"/>
              <w:right w:w="90" w:type="dxa"/>
            </w:tcMar>
            <w:shd w:fill="FFFFFF"/>
          </w:tcPr>
          <w:p>
            <w:pPr>
              <w:pStyle w:val="ToolTable"/>
            </w:pPr>
            <w:r/>
          </w:p>
        </w:tc>
      </w:tr>
      <w:tr>
        <w:trPr>
          <w:cantSplit/>
        </w:trPr>
        <w:tc>
          <w:tcPr>
            <w:tcW w:type="dxa" w:w="720"/>
            <w:vAlign w:val="center"/>
            <w:tcMar>
              <w:top w:w="65" w:type="dxa"/>
              <w:bottom w:w="65" w:type="dxa"/>
              <w:left w:w="90" w:type="dxa"/>
              <w:right w:w="90" w:type="dxa"/>
            </w:tcMar>
            <w:shd w:fill="FFFFFF"/>
          </w:tcPr>
          <w:p>
            <w:pPr>
              <w:pStyle w:val="ToolTable"/>
            </w:pPr>
            <w:r>
              <w:t>13</w:t>
            </w:r>
          </w:p>
        </w:tc>
        <w:tc>
          <w:tcPr>
            <w:tcW w:type="dxa" w:w="187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232"/>
            <w:vAlign w:val="center"/>
            <w:tcMar>
              <w:top w:w="65" w:type="dxa"/>
              <w:bottom w:w="65" w:type="dxa"/>
              <w:left w:w="90" w:type="dxa"/>
              <w:right w:w="90" w:type="dxa"/>
            </w:tcMar>
            <w:shd w:fill="FFFFFF"/>
          </w:tcPr>
          <w:p>
            <w:pPr>
              <w:pStyle w:val="ToolTable"/>
            </w:pPr>
            <w:r/>
          </w:p>
        </w:tc>
        <w:tc>
          <w:tcPr>
            <w:tcW w:type="dxa" w:w="2016"/>
            <w:vAlign w:val="center"/>
            <w:tcMar>
              <w:top w:w="65" w:type="dxa"/>
              <w:bottom w:w="65" w:type="dxa"/>
              <w:left w:w="90" w:type="dxa"/>
              <w:right w:w="90" w:type="dxa"/>
            </w:tcMar>
            <w:shd w:fill="FFFFFF"/>
          </w:tcPr>
          <w:p>
            <w:pPr>
              <w:pStyle w:val="ToolTable"/>
            </w:pPr>
            <w:r/>
          </w:p>
        </w:tc>
      </w:tr>
    </w:tbl>
    <w:p>
      <w:pPr>
        <w:pStyle w:val="ToolBody"/>
        <w:spacing w:after="20"/>
      </w:pPr>
    </w:p>
    <w:p>
      <w:pPr>
        <w:pStyle w:val="ToolBody"/>
      </w:pPr>
      <w:r>
        <w:t>Ending cash = opening cash + receipts + available funding − payments − new provisions. Next week begins with the prior ending balance. Explain any release of previously earmarked reserves; do not charge the same bill and reserve twice.</w:t>
      </w:r>
    </w:p>
    <w:p>
      <w:pPr>
        <w:pStyle w:val="ToolField"/>
      </w:pPr>
      <w:r>
        <w:rPr>
          <w:b/>
        </w:rPr>
        <w:t>Chosen buffer, reason, and lowest projected balance</w:t>
        <w:br/>
      </w:r>
      <w:r>
        <w:t>__________________________________________________________________</w:t>
      </w:r>
    </w:p>
    <w:p>
      <w:pPr>
        <w:pStyle w:val="ToolField"/>
      </w:pPr>
      <w:r>
        <w:rPr>
          <w:b/>
        </w:rPr>
        <w:t>Required funding or action, responsible person, and latest safe date</w:t>
        <w:br/>
      </w:r>
      <w:r>
        <w:t>__________________________________________________________________</w:t>
      </w:r>
    </w:p>
    <w:p>
      <w:pPr>
        <w:pStyle w:val="ToolField"/>
      </w:pPr>
      <w:r>
        <w:rPr>
          <w:b/>
        </w:rPr>
        <w:t>Daily check around payroll and other large withdrawals</w:t>
        <w:br/>
      </w:r>
      <w:r>
        <w:t>__________________________________________________________________</w:t>
      </w:r>
    </w:p>
    <w:p>
      <w:pPr>
        <w:pStyle w:val="ToolBody"/>
      </w:pPr>
      <w:r>
        <w:t>Do not treat a blank receipt or payment as zero. Confirm the missing amount or leave the forecast incomplete. When a week ends, enter actual results, explain the variance, and add the next week.</w:t>
      </w:r>
    </w:p>
    <w:p>
      <w:pPr>
        <w:pStyle w:val="ToolTitle"/>
        <w:pageBreakBefore/>
      </w:pPr>
      <w:r>
        <w:t>Tool 11 Practice visit and clinical transfer</w:t>
      </w:r>
    </w:p>
    <w:p>
      <w:pPr>
        <w:pStyle w:val="ToolReference"/>
      </w:pPr>
      <w:r>
        <w:t>Chapters 17 through 25</w:t>
      </w:r>
    </w:p>
    <w:p>
      <w:pPr>
        <w:pStyle w:val="ToolBody"/>
      </w:pPr>
      <w:r>
        <w:t>Separate observation from interpretation. Conduct any chart or patient-information review only through the authorized process with appropriate clinical and privacy safeguards.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76"/>
        <w:gridCol w:w="3024"/>
        <w:gridCol w:w="3672"/>
      </w:tblGrid>
      <w:tr>
        <w:trPr>
          <w:cantSplit/>
          <w:tblHeader/>
        </w:trPr>
        <w:tc>
          <w:tcPr>
            <w:tcW w:type="dxa" w:w="2376"/>
            <w:vAlign w:val="center"/>
            <w:tcMar>
              <w:top w:w="65" w:type="dxa"/>
              <w:bottom w:w="65" w:type="dxa"/>
              <w:left w:w="90" w:type="dxa"/>
              <w:right w:w="90" w:type="dxa"/>
            </w:tcMar>
            <w:shd w:fill="E5E7EB"/>
          </w:tcPr>
          <w:p>
            <w:pPr>
              <w:pStyle w:val="ToolTable"/>
            </w:pPr>
            <w:r>
              <w:rPr>
                <w:b/>
              </w:rPr>
              <w:t>Area</w:t>
            </w:r>
          </w:p>
        </w:tc>
        <w:tc>
          <w:tcPr>
            <w:tcW w:type="dxa" w:w="3024"/>
            <w:vAlign w:val="center"/>
            <w:tcMar>
              <w:top w:w="65" w:type="dxa"/>
              <w:bottom w:w="65" w:type="dxa"/>
              <w:left w:w="90" w:type="dxa"/>
              <w:right w:w="90" w:type="dxa"/>
            </w:tcMar>
            <w:shd w:fill="E5E7EB"/>
          </w:tcPr>
          <w:p>
            <w:pPr>
              <w:pStyle w:val="ToolTable"/>
            </w:pPr>
            <w:r>
              <w:rPr>
                <w:b/>
              </w:rPr>
              <w:t>Observed fact</w:t>
            </w:r>
          </w:p>
        </w:tc>
        <w:tc>
          <w:tcPr>
            <w:tcW w:type="dxa" w:w="3672"/>
            <w:vAlign w:val="center"/>
            <w:tcMar>
              <w:top w:w="65" w:type="dxa"/>
              <w:bottom w:w="65" w:type="dxa"/>
              <w:left w:w="90" w:type="dxa"/>
              <w:right w:w="90" w:type="dxa"/>
            </w:tcMar>
            <w:shd w:fill="E5E7EB"/>
          </w:tcPr>
          <w:p>
            <w:pPr>
              <w:pStyle w:val="ToolTable"/>
            </w:pPr>
            <w:r>
              <w:rPr>
                <w:b/>
              </w:rPr>
              <w:t>What must be verified</w:t>
            </w:r>
          </w:p>
        </w:tc>
      </w:tr>
      <w:tr>
        <w:trPr>
          <w:cantSplit/>
        </w:trPr>
        <w:tc>
          <w:tcPr>
            <w:tcW w:type="dxa" w:w="2376"/>
            <w:vAlign w:val="center"/>
            <w:tcMar>
              <w:top w:w="65" w:type="dxa"/>
              <w:bottom w:w="65" w:type="dxa"/>
              <w:left w:w="90" w:type="dxa"/>
              <w:right w:w="90" w:type="dxa"/>
            </w:tcMar>
            <w:shd w:fill="FFFFFF"/>
          </w:tcPr>
          <w:p>
            <w:pPr>
              <w:pStyle w:val="ToolTable"/>
            </w:pPr>
            <w:r>
              <w:t>Finding and entering the office</w:t>
            </w:r>
          </w:p>
        </w:tc>
        <w:tc>
          <w:tcPr>
            <w:tcW w:type="dxa" w:w="3024"/>
            <w:vAlign w:val="center"/>
            <w:tcMar>
              <w:top w:w="65" w:type="dxa"/>
              <w:bottom w:w="65" w:type="dxa"/>
              <w:left w:w="90" w:type="dxa"/>
              <w:right w:w="90" w:type="dxa"/>
            </w:tcMar>
            <w:shd w:fill="FFFFFF"/>
          </w:tcPr>
          <w:p>
            <w:pPr>
              <w:pStyle w:val="ToolTable"/>
            </w:pPr>
            <w:r/>
          </w:p>
        </w:tc>
        <w:tc>
          <w:tcPr>
            <w:tcW w:type="dxa" w:w="3672"/>
            <w:vAlign w:val="center"/>
            <w:tcMar>
              <w:top w:w="65" w:type="dxa"/>
              <w:bottom w:w="65" w:type="dxa"/>
              <w:left w:w="90" w:type="dxa"/>
              <w:right w:w="90" w:type="dxa"/>
            </w:tcMar>
            <w:shd w:fill="FFFFFF"/>
          </w:tcPr>
          <w:p>
            <w:pPr>
              <w:pStyle w:val="ToolTable"/>
            </w:pPr>
            <w:r/>
          </w:p>
        </w:tc>
      </w:tr>
      <w:tr>
        <w:trPr>
          <w:cantSplit/>
        </w:trPr>
        <w:tc>
          <w:tcPr>
            <w:tcW w:type="dxa" w:w="2376"/>
            <w:vAlign w:val="center"/>
            <w:tcMar>
              <w:top w:w="65" w:type="dxa"/>
              <w:bottom w:w="65" w:type="dxa"/>
              <w:left w:w="90" w:type="dxa"/>
              <w:right w:w="90" w:type="dxa"/>
            </w:tcMar>
            <w:shd w:fill="FFFFFF"/>
          </w:tcPr>
          <w:p>
            <w:pPr>
              <w:pStyle w:val="ToolTable"/>
            </w:pPr>
            <w:r>
              <w:t>Patient care and checkout</w:t>
            </w:r>
          </w:p>
        </w:tc>
        <w:tc>
          <w:tcPr>
            <w:tcW w:type="dxa" w:w="3024"/>
            <w:vAlign w:val="center"/>
            <w:tcMar>
              <w:top w:w="65" w:type="dxa"/>
              <w:bottom w:w="65" w:type="dxa"/>
              <w:left w:w="90" w:type="dxa"/>
              <w:right w:w="90" w:type="dxa"/>
            </w:tcMar>
            <w:shd w:fill="FFFFFF"/>
          </w:tcPr>
          <w:p>
            <w:pPr>
              <w:pStyle w:val="ToolTable"/>
            </w:pPr>
            <w:r/>
          </w:p>
        </w:tc>
        <w:tc>
          <w:tcPr>
            <w:tcW w:type="dxa" w:w="3672"/>
            <w:vAlign w:val="center"/>
            <w:tcMar>
              <w:top w:w="65" w:type="dxa"/>
              <w:bottom w:w="65" w:type="dxa"/>
              <w:left w:w="90" w:type="dxa"/>
              <w:right w:w="90" w:type="dxa"/>
            </w:tcMar>
            <w:shd w:fill="FFFFFF"/>
          </w:tcPr>
          <w:p>
            <w:pPr>
              <w:pStyle w:val="ToolTable"/>
            </w:pPr>
            <w:r/>
          </w:p>
        </w:tc>
      </w:tr>
      <w:tr>
        <w:trPr>
          <w:cantSplit/>
        </w:trPr>
        <w:tc>
          <w:tcPr>
            <w:tcW w:type="dxa" w:w="2376"/>
            <w:vAlign w:val="center"/>
            <w:tcMar>
              <w:top w:w="65" w:type="dxa"/>
              <w:bottom w:w="65" w:type="dxa"/>
              <w:left w:w="90" w:type="dxa"/>
              <w:right w:w="90" w:type="dxa"/>
            </w:tcMar>
            <w:shd w:fill="FFFFFF"/>
          </w:tcPr>
          <w:p>
            <w:pPr>
              <w:pStyle w:val="ToolTable"/>
            </w:pPr>
            <w:r>
              <w:t>Recall and unfinished care</w:t>
            </w:r>
          </w:p>
        </w:tc>
        <w:tc>
          <w:tcPr>
            <w:tcW w:type="dxa" w:w="3024"/>
            <w:vAlign w:val="center"/>
            <w:tcMar>
              <w:top w:w="65" w:type="dxa"/>
              <w:bottom w:w="65" w:type="dxa"/>
              <w:left w:w="90" w:type="dxa"/>
              <w:right w:w="90" w:type="dxa"/>
            </w:tcMar>
            <w:shd w:fill="FFFFFF"/>
          </w:tcPr>
          <w:p>
            <w:pPr>
              <w:pStyle w:val="ToolTable"/>
            </w:pPr>
            <w:r/>
          </w:p>
        </w:tc>
        <w:tc>
          <w:tcPr>
            <w:tcW w:type="dxa" w:w="3672"/>
            <w:vAlign w:val="center"/>
            <w:tcMar>
              <w:top w:w="65" w:type="dxa"/>
              <w:bottom w:w="65" w:type="dxa"/>
              <w:left w:w="90" w:type="dxa"/>
              <w:right w:w="90" w:type="dxa"/>
            </w:tcMar>
            <w:shd w:fill="FFFFFF"/>
          </w:tcPr>
          <w:p>
            <w:pPr>
              <w:pStyle w:val="ToolTable"/>
            </w:pPr>
            <w:r/>
          </w:p>
        </w:tc>
      </w:tr>
      <w:tr>
        <w:trPr>
          <w:cantSplit/>
        </w:trPr>
        <w:tc>
          <w:tcPr>
            <w:tcW w:type="dxa" w:w="2376"/>
            <w:vAlign w:val="center"/>
            <w:tcMar>
              <w:top w:w="65" w:type="dxa"/>
              <w:bottom w:w="65" w:type="dxa"/>
              <w:left w:w="90" w:type="dxa"/>
              <w:right w:w="90" w:type="dxa"/>
            </w:tcMar>
            <w:shd w:fill="FFFFFF"/>
          </w:tcPr>
          <w:p>
            <w:pPr>
              <w:pStyle w:val="ToolTable"/>
            </w:pPr>
            <w:r>
              <w:t>Facility and installed equipment</w:t>
            </w:r>
          </w:p>
        </w:tc>
        <w:tc>
          <w:tcPr>
            <w:tcW w:type="dxa" w:w="3024"/>
            <w:vAlign w:val="center"/>
            <w:tcMar>
              <w:top w:w="65" w:type="dxa"/>
              <w:bottom w:w="65" w:type="dxa"/>
              <w:left w:w="90" w:type="dxa"/>
              <w:right w:w="90" w:type="dxa"/>
            </w:tcMar>
            <w:shd w:fill="FFFFFF"/>
          </w:tcPr>
          <w:p>
            <w:pPr>
              <w:pStyle w:val="ToolTable"/>
            </w:pPr>
            <w:r/>
          </w:p>
        </w:tc>
        <w:tc>
          <w:tcPr>
            <w:tcW w:type="dxa" w:w="3672"/>
            <w:vAlign w:val="center"/>
            <w:tcMar>
              <w:top w:w="65" w:type="dxa"/>
              <w:bottom w:w="65" w:type="dxa"/>
              <w:left w:w="90" w:type="dxa"/>
              <w:right w:w="90" w:type="dxa"/>
            </w:tcMar>
            <w:shd w:fill="FFFFFF"/>
          </w:tcPr>
          <w:p>
            <w:pPr>
              <w:pStyle w:val="ToolTable"/>
            </w:pPr>
            <w:r/>
          </w:p>
        </w:tc>
      </w:tr>
      <w:tr>
        <w:trPr>
          <w:cantSplit/>
        </w:trPr>
        <w:tc>
          <w:tcPr>
            <w:tcW w:type="dxa" w:w="2376"/>
            <w:vAlign w:val="center"/>
            <w:tcMar>
              <w:top w:w="65" w:type="dxa"/>
              <w:bottom w:w="65" w:type="dxa"/>
              <w:left w:w="90" w:type="dxa"/>
              <w:right w:w="90" w:type="dxa"/>
            </w:tcMar>
            <w:shd w:fill="FFFFFF"/>
          </w:tcPr>
          <w:p>
            <w:pPr>
              <w:pStyle w:val="ToolTable"/>
            </w:pPr>
            <w:r>
              <w:t>Digital access and recovery</w:t>
            </w:r>
          </w:p>
        </w:tc>
        <w:tc>
          <w:tcPr>
            <w:tcW w:type="dxa" w:w="3024"/>
            <w:vAlign w:val="center"/>
            <w:tcMar>
              <w:top w:w="65" w:type="dxa"/>
              <w:bottom w:w="65" w:type="dxa"/>
              <w:left w:w="90" w:type="dxa"/>
              <w:right w:w="90" w:type="dxa"/>
            </w:tcMar>
            <w:shd w:fill="FFFFFF"/>
          </w:tcPr>
          <w:p>
            <w:pPr>
              <w:pStyle w:val="ToolTable"/>
            </w:pPr>
            <w:r/>
          </w:p>
        </w:tc>
        <w:tc>
          <w:tcPr>
            <w:tcW w:type="dxa" w:w="3672"/>
            <w:vAlign w:val="center"/>
            <w:tcMar>
              <w:top w:w="65" w:type="dxa"/>
              <w:bottom w:w="65" w:type="dxa"/>
              <w:left w:w="90" w:type="dxa"/>
              <w:right w:w="90" w:type="dxa"/>
            </w:tcMar>
            <w:shd w:fill="FFFFFF"/>
          </w:tcPr>
          <w:p>
            <w:pPr>
              <w:pStyle w:val="ToolTable"/>
            </w:pPr>
            <w:r/>
          </w:p>
        </w:tc>
      </w:tr>
    </w:tbl>
    <w:p>
      <w:pPr>
        <w:pStyle w:val="ToolBody"/>
        <w:spacing w:after="20"/>
      </w:pPr>
    </w:p>
    <w:p>
      <w:pPr>
        <w:pStyle w:val="ToolHeading"/>
      </w:pPr>
      <w:r>
        <w:t>A procedure stream the purchase depends on</w:t>
      </w:r>
    </w:p>
    <w:p>
      <w:pPr>
        <w:pStyle w:val="ToolField"/>
      </w:pPr>
      <w:r>
        <w:rPr>
          <w:b/>
        </w:rPr>
        <w:t>Procedure, provider, monthly amount, and production or collection definition</w:t>
        <w:br/>
      </w:r>
      <w:r>
        <w:t>__________________________________________________________________</w:t>
      </w:r>
    </w:p>
    <w:p>
      <w:pPr>
        <w:pStyle w:val="ToolField"/>
      </w:pPr>
      <w:r>
        <w:rPr>
          <w:b/>
        </w:rPr>
        <w:t>Patient sources, presentation, referral relationships, and clinical capacity needed</w:t>
        <w:br/>
      </w:r>
      <w:r>
        <w:t>__________________________________________________________________</w:t>
      </w:r>
    </w:p>
    <w:p>
      <w:pPr>
        <w:pStyle w:val="ToolField"/>
      </w:pPr>
      <w:r>
        <w:rPr>
          <w:b/>
        </w:rPr>
        <w:t>What I can continue now and what requires training or another clinician</w:t>
        <w:br/>
      </w:r>
      <w:r>
        <w:t>__________________________________________________________________</w:t>
      </w:r>
    </w:p>
    <w:p>
      <w:pPr>
        <w:pStyle w:val="ToolField"/>
      </w:pPr>
      <w:r>
        <w:rPr>
          <w:b/>
        </w:rPr>
        <w:t>Lost revenue, avoidable costs, and bridge cost if it does not transfer</w:t>
        <w:br/>
      </w:r>
      <w:r>
        <w:t>__________________________________________________________________</w:t>
      </w:r>
    </w:p>
    <w:p>
      <w:pPr>
        <w:pStyle w:val="ToolField"/>
      </w:pPr>
      <w:r>
        <w:rPr>
          <w:b/>
        </w:rPr>
        <w:t>Chart-review finding and record of responsibility for unfinished care</w:t>
        <w:br/>
      </w:r>
      <w:r>
        <w:t>__________________________________________________________________</w:t>
      </w:r>
    </w:p>
    <w:p>
      <w:pPr>
        <w:pStyle w:val="ToolHeading"/>
      </w:pPr>
      <w:r>
        <w:t>Site conclusion</w:t>
      </w:r>
    </w:p>
    <w:p>
      <w:pPr>
        <w:pStyle w:val="ToolField"/>
      </w:pPr>
      <w:r>
        <w:rPr>
          <w:b/>
        </w:rPr>
        <w:t>Facility works as is, needs priced changes, or cannot support the intended practice</w:t>
        <w:br/>
      </w:r>
      <w:r>
        <w:t>__________________________________________________________________</w:t>
      </w:r>
    </w:p>
    <w:p>
      <w:pPr>
        <w:pStyle w:val="ToolField"/>
      </w:pPr>
      <w:r>
        <w:rPr>
          <w:b/>
        </w:rPr>
        <w:t>Lease issue and landlord approval needed</w:t>
        <w:br/>
      </w:r>
      <w:r>
        <w:t>__________________________________________________________________</w:t>
      </w:r>
    </w:p>
    <w:p>
      <w:pPr>
        <w:pStyle w:val="ToolField"/>
      </w:pPr>
      <w:r>
        <w:rPr>
          <w:b/>
        </w:rPr>
        <w:t>Separate property decision and supporting analysis</w:t>
        <w:br/>
      </w:r>
      <w:r>
        <w:t>__________________________________________________________________</w:t>
      </w:r>
    </w:p>
    <w:p>
      <w:pPr>
        <w:pStyle w:val="ToolBody"/>
      </w:pPr>
      <w:r>
        <w:t>A promising site visit does not replace the specialist inspections, lease review, chart review, or system tests. Record the unanswered question and the person obtaining the evidence.</w:t>
      </w:r>
    </w:p>
    <w:p>
      <w:pPr>
        <w:pStyle w:val="ToolTitle"/>
        <w:pageBreakBefore/>
      </w:pPr>
      <w:r>
        <w:t>Tool 12 Offer and loan comparison</w:t>
      </w:r>
    </w:p>
    <w:p>
      <w:pPr>
        <w:pStyle w:val="ToolReference"/>
      </w:pPr>
      <w:r>
        <w:t>Chapters 26 through 31 and 37</w:t>
      </w:r>
    </w:p>
    <w:p>
      <w:pPr>
        <w:pStyle w:val="ToolBody"/>
      </w:pPr>
      <w:r>
        <w:t>Compare the whole package at the same time. The offer worksheet records business choices; it is not an LOI or a substitute for counsel drafting the actual terms.</w:t>
      </w:r>
    </w:p>
    <w:p>
      <w:pPr>
        <w:pStyle w:val="ToolField"/>
      </w:pPr>
      <w:r>
        <w:rPr>
          <w:b/>
        </w:rPr>
        <w:t>Proposed assets and obligations included or excluded</w:t>
        <w:br/>
      </w:r>
      <w:r>
        <w:t>__________________________________________________________________</w:t>
      </w:r>
    </w:p>
    <w:p>
      <w:pPr>
        <w:pStyle w:val="ToolField"/>
      </w:pPr>
      <w:r>
        <w:rPr>
          <w:b/>
        </w:rPr>
        <w:t>Price, cash at closing, seller compensation, rent, and required repairs</w:t>
        <w:br/>
      </w:r>
      <w:r>
        <w:t>__________________________________________________________________</w:t>
      </w:r>
    </w:p>
    <w:p>
      <w:pPr>
        <w:pStyle w:val="ToolField"/>
      </w:pPr>
      <w:r>
        <w:rPr>
          <w:b/>
        </w:rPr>
        <w:t>Maximum price at these terms and evidence supporting it</w:t>
        <w:br/>
      </w:r>
      <w:r>
        <w:t>__________________________________________________________________</w:t>
      </w:r>
    </w:p>
    <w:p>
      <w:pPr>
        <w:pStyle w:val="ToolField"/>
      </w:pPr>
      <w:r>
        <w:rPr>
          <w:b/>
        </w:rPr>
        <w:t>Conditions that would change the maximum or end the purchase</w:t>
        <w:br/>
      </w:r>
      <w:r>
        <w:t>__________________________________________________________________</w:t>
      </w:r>
    </w:p>
    <w:p>
      <w:pPr>
        <w:pStyle w:val="ToolField"/>
      </w:pPr>
      <w:r>
        <w:rPr>
          <w:b/>
        </w:rPr>
        <w:t>Diligence access, financing conditions, and deadlines for counsel to address</w:t>
        <w:br/>
      </w:r>
      <w:r>
        <w:t>__________________________________________________________________</w:t>
      </w:r>
    </w:p>
    <w:p>
      <w:pPr>
        <w:pStyle w:val="ToolField"/>
      </w:pPr>
      <w:r>
        <w:rPr>
          <w:b/>
        </w:rPr>
        <w:t>Deposit, exclusivity, binding provisions, and exit procedure explained by counsel</w:t>
        <w:br/>
      </w:r>
      <w:r>
        <w:t>__________________________________________________________________</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464"/>
        <w:gridCol w:w="2304"/>
        <w:gridCol w:w="2304"/>
      </w:tblGrid>
      <w:tr>
        <w:trPr>
          <w:cantSplit/>
          <w:tblHeader/>
        </w:trPr>
        <w:tc>
          <w:tcPr>
            <w:tcW w:type="dxa" w:w="4464"/>
            <w:vAlign w:val="center"/>
            <w:tcMar>
              <w:top w:w="65" w:type="dxa"/>
              <w:bottom w:w="65" w:type="dxa"/>
              <w:left w:w="90" w:type="dxa"/>
              <w:right w:w="90" w:type="dxa"/>
            </w:tcMar>
            <w:shd w:fill="E5E7EB"/>
          </w:tcPr>
          <w:p>
            <w:pPr>
              <w:pStyle w:val="ToolTable"/>
            </w:pPr>
            <w:r>
              <w:rPr>
                <w:b/>
              </w:rPr>
              <w:t>Financing term</w:t>
            </w:r>
          </w:p>
        </w:tc>
        <w:tc>
          <w:tcPr>
            <w:tcW w:type="dxa" w:w="2304"/>
            <w:vAlign w:val="center"/>
            <w:tcMar>
              <w:top w:w="65" w:type="dxa"/>
              <w:bottom w:w="65" w:type="dxa"/>
              <w:left w:w="90" w:type="dxa"/>
              <w:right w:w="90" w:type="dxa"/>
            </w:tcMar>
            <w:shd w:fill="E5E7EB"/>
          </w:tcPr>
          <w:p>
            <w:pPr>
              <w:pStyle w:val="ToolTable"/>
            </w:pPr>
            <w:r>
              <w:rPr>
                <w:b/>
              </w:rPr>
              <w:t>Option A</w:t>
            </w:r>
          </w:p>
        </w:tc>
        <w:tc>
          <w:tcPr>
            <w:tcW w:type="dxa" w:w="2304"/>
            <w:vAlign w:val="center"/>
            <w:tcMar>
              <w:top w:w="65" w:type="dxa"/>
              <w:bottom w:w="65" w:type="dxa"/>
              <w:left w:w="90" w:type="dxa"/>
              <w:right w:w="90" w:type="dxa"/>
            </w:tcMar>
            <w:shd w:fill="E5E7EB"/>
          </w:tcPr>
          <w:p>
            <w:pPr>
              <w:pStyle w:val="ToolTable"/>
            </w:pPr>
            <w:r>
              <w:rPr>
                <w:b/>
              </w:rPr>
              <w:t>Option B</w:t>
            </w:r>
          </w:p>
        </w:tc>
      </w:tr>
      <w:tr>
        <w:trPr>
          <w:cantSplit/>
        </w:trPr>
        <w:tc>
          <w:tcPr>
            <w:tcW w:type="dxa" w:w="4464"/>
            <w:vAlign w:val="center"/>
            <w:tcMar>
              <w:top w:w="65" w:type="dxa"/>
              <w:bottom w:w="65" w:type="dxa"/>
              <w:left w:w="90" w:type="dxa"/>
              <w:right w:w="90" w:type="dxa"/>
            </w:tcMar>
            <w:shd w:fill="FFFFFF"/>
          </w:tcPr>
          <w:p>
            <w:pPr>
              <w:pStyle w:val="ToolTable"/>
            </w:pPr>
            <w:r>
              <w:t>Amount and funding date</w:t>
            </w:r>
          </w:p>
        </w:tc>
        <w:tc>
          <w:tcPr>
            <w:tcW w:type="dxa" w:w="2304"/>
            <w:vAlign w:val="center"/>
            <w:tcMar>
              <w:top w:w="65" w:type="dxa"/>
              <w:bottom w:w="65" w:type="dxa"/>
              <w:left w:w="90" w:type="dxa"/>
              <w:right w:w="90" w:type="dxa"/>
            </w:tcMar>
            <w:shd w:fill="FFFFFF"/>
          </w:tcPr>
          <w:p>
            <w:pPr>
              <w:pStyle w:val="ToolTable"/>
            </w:pPr>
            <w:r/>
          </w:p>
        </w:tc>
        <w:tc>
          <w:tcPr>
            <w:tcW w:type="dxa" w:w="2304"/>
            <w:vAlign w:val="center"/>
            <w:tcMar>
              <w:top w:w="65" w:type="dxa"/>
              <w:bottom w:w="65" w:type="dxa"/>
              <w:left w:w="90" w:type="dxa"/>
              <w:right w:w="90" w:type="dxa"/>
            </w:tcMar>
            <w:shd w:fill="FFFFFF"/>
          </w:tcPr>
          <w:p>
            <w:pPr>
              <w:pStyle w:val="ToolTable"/>
            </w:pPr>
            <w:r/>
          </w:p>
        </w:tc>
      </w:tr>
      <w:tr>
        <w:trPr>
          <w:cantSplit/>
        </w:trPr>
        <w:tc>
          <w:tcPr>
            <w:tcW w:type="dxa" w:w="4464"/>
            <w:vAlign w:val="center"/>
            <w:tcMar>
              <w:top w:w="65" w:type="dxa"/>
              <w:bottom w:w="65" w:type="dxa"/>
              <w:left w:w="90" w:type="dxa"/>
              <w:right w:w="90" w:type="dxa"/>
            </w:tcMar>
            <w:shd w:fill="FFFFFF"/>
          </w:tcPr>
          <w:p>
            <w:pPr>
              <w:pStyle w:val="ToolTable"/>
            </w:pPr>
            <w:r>
              <w:t>Rate and whether fixed or variable</w:t>
            </w:r>
          </w:p>
        </w:tc>
        <w:tc>
          <w:tcPr>
            <w:tcW w:type="dxa" w:w="2304"/>
            <w:vAlign w:val="center"/>
            <w:tcMar>
              <w:top w:w="65" w:type="dxa"/>
              <w:bottom w:w="65" w:type="dxa"/>
              <w:left w:w="90" w:type="dxa"/>
              <w:right w:w="90" w:type="dxa"/>
            </w:tcMar>
            <w:shd w:fill="FFFFFF"/>
          </w:tcPr>
          <w:p>
            <w:pPr>
              <w:pStyle w:val="ToolTable"/>
            </w:pPr>
            <w:r/>
          </w:p>
        </w:tc>
        <w:tc>
          <w:tcPr>
            <w:tcW w:type="dxa" w:w="2304"/>
            <w:vAlign w:val="center"/>
            <w:tcMar>
              <w:top w:w="65" w:type="dxa"/>
              <w:bottom w:w="65" w:type="dxa"/>
              <w:left w:w="90" w:type="dxa"/>
              <w:right w:w="90" w:type="dxa"/>
            </w:tcMar>
            <w:shd w:fill="FFFFFF"/>
          </w:tcPr>
          <w:p>
            <w:pPr>
              <w:pStyle w:val="ToolTable"/>
            </w:pPr>
            <w:r/>
          </w:p>
        </w:tc>
      </w:tr>
      <w:tr>
        <w:trPr>
          <w:cantSplit/>
        </w:trPr>
        <w:tc>
          <w:tcPr>
            <w:tcW w:type="dxa" w:w="4464"/>
            <w:vAlign w:val="center"/>
            <w:tcMar>
              <w:top w:w="65" w:type="dxa"/>
              <w:bottom w:w="65" w:type="dxa"/>
              <w:left w:w="90" w:type="dxa"/>
              <w:right w:w="90" w:type="dxa"/>
            </w:tcMar>
            <w:shd w:fill="FFFFFF"/>
          </w:tcPr>
          <w:p>
            <w:pPr>
              <w:pStyle w:val="ToolTable"/>
            </w:pPr>
            <w:r>
              <w:t>Amortization and maturity</w:t>
            </w:r>
          </w:p>
        </w:tc>
        <w:tc>
          <w:tcPr>
            <w:tcW w:type="dxa" w:w="2304"/>
            <w:vAlign w:val="center"/>
            <w:tcMar>
              <w:top w:w="65" w:type="dxa"/>
              <w:bottom w:w="65" w:type="dxa"/>
              <w:left w:w="90" w:type="dxa"/>
              <w:right w:w="90" w:type="dxa"/>
            </w:tcMar>
            <w:shd w:fill="FFFFFF"/>
          </w:tcPr>
          <w:p>
            <w:pPr>
              <w:pStyle w:val="ToolTable"/>
            </w:pPr>
            <w:r/>
          </w:p>
        </w:tc>
        <w:tc>
          <w:tcPr>
            <w:tcW w:type="dxa" w:w="2304"/>
            <w:vAlign w:val="center"/>
            <w:tcMar>
              <w:top w:w="65" w:type="dxa"/>
              <w:bottom w:w="65" w:type="dxa"/>
              <w:left w:w="90" w:type="dxa"/>
              <w:right w:w="90" w:type="dxa"/>
            </w:tcMar>
            <w:shd w:fill="FFFFFF"/>
          </w:tcPr>
          <w:p>
            <w:pPr>
              <w:pStyle w:val="ToolTable"/>
            </w:pPr>
            <w:r/>
          </w:p>
        </w:tc>
      </w:tr>
      <w:tr>
        <w:trPr>
          <w:cantSplit/>
        </w:trPr>
        <w:tc>
          <w:tcPr>
            <w:tcW w:type="dxa" w:w="4464"/>
            <w:vAlign w:val="center"/>
            <w:tcMar>
              <w:top w:w="65" w:type="dxa"/>
              <w:bottom w:w="65" w:type="dxa"/>
              <w:left w:w="90" w:type="dxa"/>
              <w:right w:w="90" w:type="dxa"/>
            </w:tcMar>
            <w:shd w:fill="FFFFFF"/>
          </w:tcPr>
          <w:p>
            <w:pPr>
              <w:pStyle w:val="ToolTable"/>
            </w:pPr>
            <w:r>
              <w:t>Payment and any balloon</w:t>
            </w:r>
          </w:p>
        </w:tc>
        <w:tc>
          <w:tcPr>
            <w:tcW w:type="dxa" w:w="2304"/>
            <w:vAlign w:val="center"/>
            <w:tcMar>
              <w:top w:w="65" w:type="dxa"/>
              <w:bottom w:w="65" w:type="dxa"/>
              <w:left w:w="90" w:type="dxa"/>
              <w:right w:w="90" w:type="dxa"/>
            </w:tcMar>
            <w:shd w:fill="FFFFFF"/>
          </w:tcPr>
          <w:p>
            <w:pPr>
              <w:pStyle w:val="ToolTable"/>
            </w:pPr>
            <w:r/>
          </w:p>
        </w:tc>
        <w:tc>
          <w:tcPr>
            <w:tcW w:type="dxa" w:w="2304"/>
            <w:vAlign w:val="center"/>
            <w:tcMar>
              <w:top w:w="65" w:type="dxa"/>
              <w:bottom w:w="65" w:type="dxa"/>
              <w:left w:w="90" w:type="dxa"/>
              <w:right w:w="90" w:type="dxa"/>
            </w:tcMar>
            <w:shd w:fill="FFFFFF"/>
          </w:tcPr>
          <w:p>
            <w:pPr>
              <w:pStyle w:val="ToolTable"/>
            </w:pPr>
            <w:r/>
          </w:p>
        </w:tc>
      </w:tr>
      <w:tr>
        <w:trPr>
          <w:cantSplit/>
        </w:trPr>
        <w:tc>
          <w:tcPr>
            <w:tcW w:type="dxa" w:w="4464"/>
            <w:vAlign w:val="center"/>
            <w:tcMar>
              <w:top w:w="65" w:type="dxa"/>
              <w:bottom w:w="65" w:type="dxa"/>
              <w:left w:w="90" w:type="dxa"/>
              <w:right w:w="90" w:type="dxa"/>
            </w:tcMar>
            <w:shd w:fill="FFFFFF"/>
          </w:tcPr>
          <w:p>
            <w:pPr>
              <w:pStyle w:val="ToolTable"/>
            </w:pPr>
            <w:r>
              <w:t>Fees and prepayment terms</w:t>
            </w:r>
          </w:p>
        </w:tc>
        <w:tc>
          <w:tcPr>
            <w:tcW w:type="dxa" w:w="2304"/>
            <w:vAlign w:val="center"/>
            <w:tcMar>
              <w:top w:w="65" w:type="dxa"/>
              <w:bottom w:w="65" w:type="dxa"/>
              <w:left w:w="90" w:type="dxa"/>
              <w:right w:w="90" w:type="dxa"/>
            </w:tcMar>
            <w:shd w:fill="FFFFFF"/>
          </w:tcPr>
          <w:p>
            <w:pPr>
              <w:pStyle w:val="ToolTable"/>
            </w:pPr>
            <w:r/>
          </w:p>
        </w:tc>
        <w:tc>
          <w:tcPr>
            <w:tcW w:type="dxa" w:w="2304"/>
            <w:vAlign w:val="center"/>
            <w:tcMar>
              <w:top w:w="65" w:type="dxa"/>
              <w:bottom w:w="65" w:type="dxa"/>
              <w:left w:w="90" w:type="dxa"/>
              <w:right w:w="90" w:type="dxa"/>
            </w:tcMar>
            <w:shd w:fill="FFFFFF"/>
          </w:tcPr>
          <w:p>
            <w:pPr>
              <w:pStyle w:val="ToolTable"/>
            </w:pPr>
            <w:r/>
          </w:p>
        </w:tc>
      </w:tr>
      <w:tr>
        <w:trPr>
          <w:cantSplit/>
        </w:trPr>
        <w:tc>
          <w:tcPr>
            <w:tcW w:type="dxa" w:w="4464"/>
            <w:vAlign w:val="center"/>
            <w:tcMar>
              <w:top w:w="65" w:type="dxa"/>
              <w:bottom w:w="65" w:type="dxa"/>
              <w:left w:w="90" w:type="dxa"/>
              <w:right w:w="90" w:type="dxa"/>
            </w:tcMar>
            <w:shd w:fill="FFFFFF"/>
          </w:tcPr>
          <w:p>
            <w:pPr>
              <w:pStyle w:val="ToolTable"/>
            </w:pPr>
            <w:r>
              <w:t>Guarantees and collateral</w:t>
            </w:r>
          </w:p>
        </w:tc>
        <w:tc>
          <w:tcPr>
            <w:tcW w:type="dxa" w:w="2304"/>
            <w:vAlign w:val="center"/>
            <w:tcMar>
              <w:top w:w="65" w:type="dxa"/>
              <w:bottom w:w="65" w:type="dxa"/>
              <w:left w:w="90" w:type="dxa"/>
              <w:right w:w="90" w:type="dxa"/>
            </w:tcMar>
            <w:shd w:fill="FFFFFF"/>
          </w:tcPr>
          <w:p>
            <w:pPr>
              <w:pStyle w:val="ToolTable"/>
            </w:pPr>
            <w:r/>
          </w:p>
        </w:tc>
        <w:tc>
          <w:tcPr>
            <w:tcW w:type="dxa" w:w="2304"/>
            <w:vAlign w:val="center"/>
            <w:tcMar>
              <w:top w:w="65" w:type="dxa"/>
              <w:bottom w:w="65" w:type="dxa"/>
              <w:left w:w="90" w:type="dxa"/>
              <w:right w:w="90" w:type="dxa"/>
            </w:tcMar>
            <w:shd w:fill="FFFFFF"/>
          </w:tcPr>
          <w:p>
            <w:pPr>
              <w:pStyle w:val="ToolTable"/>
            </w:pPr>
            <w:r/>
          </w:p>
        </w:tc>
      </w:tr>
      <w:tr>
        <w:trPr>
          <w:cantSplit/>
        </w:trPr>
        <w:tc>
          <w:tcPr>
            <w:tcW w:type="dxa" w:w="4464"/>
            <w:vAlign w:val="center"/>
            <w:tcMar>
              <w:top w:w="65" w:type="dxa"/>
              <w:bottom w:w="65" w:type="dxa"/>
              <w:left w:w="90" w:type="dxa"/>
              <w:right w:w="90" w:type="dxa"/>
            </w:tcMar>
            <w:shd w:fill="FFFFFF"/>
          </w:tcPr>
          <w:p>
            <w:pPr>
              <w:pStyle w:val="ToolTable"/>
            </w:pPr>
            <w:r>
              <w:t>Covenants and limits on future action</w:t>
            </w:r>
          </w:p>
        </w:tc>
        <w:tc>
          <w:tcPr>
            <w:tcW w:type="dxa" w:w="2304"/>
            <w:vAlign w:val="center"/>
            <w:tcMar>
              <w:top w:w="65" w:type="dxa"/>
              <w:bottom w:w="65" w:type="dxa"/>
              <w:left w:w="90" w:type="dxa"/>
              <w:right w:w="90" w:type="dxa"/>
            </w:tcMar>
            <w:shd w:fill="FFFFFF"/>
          </w:tcPr>
          <w:p>
            <w:pPr>
              <w:pStyle w:val="ToolTable"/>
            </w:pPr>
            <w:r/>
          </w:p>
        </w:tc>
        <w:tc>
          <w:tcPr>
            <w:tcW w:type="dxa" w:w="2304"/>
            <w:vAlign w:val="center"/>
            <w:tcMar>
              <w:top w:w="65" w:type="dxa"/>
              <w:bottom w:w="65" w:type="dxa"/>
              <w:left w:w="90" w:type="dxa"/>
              <w:right w:w="90" w:type="dxa"/>
            </w:tcMar>
            <w:shd w:fill="FFFFFF"/>
          </w:tcPr>
          <w:p>
            <w:pPr>
              <w:pStyle w:val="ToolTable"/>
            </w:pPr>
            <w:r/>
          </w:p>
        </w:tc>
      </w:tr>
    </w:tbl>
    <w:p>
      <w:pPr>
        <w:pStyle w:val="ToolBody"/>
        <w:spacing w:after="20"/>
      </w:pPr>
    </w:p>
    <w:p>
      <w:pPr>
        <w:pStyle w:val="ToolBody"/>
      </w:pPr>
      <w:r>
        <w:t>Maple Street payment: $700,000 × (0.08 ÷ 12) ÷ [1 − (1 + 0.08 ÷ 12)^−120] = $8,492.93. Assumed fixed rate, monthly payments, no fees, no balloon. At a zero rate, payment is principal divided by months. Obtain the actual lender schedule rather than treating this illustration as a quote.</w:t>
      </w:r>
    </w:p>
    <w:p>
      <w:pPr>
        <w:pStyle w:val="ToolField"/>
      </w:pPr>
      <w:r>
        <w:rPr>
          <w:b/>
        </w:rPr>
        <w:t>Worst payment date and what happens if refinancing is unavailable</w:t>
        <w:br/>
      </w:r>
      <w:r>
        <w:t>__________________________________________________________________</w:t>
      </w:r>
    </w:p>
    <w:p>
      <w:pPr>
        <w:pStyle w:val="ToolTitle"/>
        <w:pageBreakBefore/>
      </w:pPr>
      <w:r>
        <w:t>Tool 13 Diligence issue record</w:t>
      </w:r>
    </w:p>
    <w:p>
      <w:pPr>
        <w:pStyle w:val="ToolReference"/>
      </w:pPr>
      <w:r>
        <w:t>Chapters 32 through 39</w:t>
      </w:r>
    </w:p>
    <w:p>
      <w:pPr>
        <w:pStyle w:val="ToolBody"/>
      </w:pPr>
      <w:r>
        <w:t>Use one record per material issue. Keep requested, received, reviewed, resolved, and accepted risk distinct. A required field left blank keeps the issue open.</w:t>
      </w:r>
    </w:p>
    <w:p>
      <w:pPr>
        <w:pStyle w:val="ToolHeading"/>
      </w:pPr>
      <w:r>
        <w:t>Completed teaching example</w:t>
      </w:r>
    </w:p>
    <w:p>
      <w:pPr>
        <w:pStyle w:val="ToolBody"/>
      </w:pPr>
      <w:r>
        <w:t>Issue P01 — Maple Street payer receipts. Review indicates that $20,000 expected in Week 2 may arrive in Week 8. The enrollment confirmation is available; payment routing and the timing assumption remain unverified. Status: reviewed, not resolved.</w:t>
      </w:r>
    </w:p>
    <w:p>
      <w:pPr>
        <w:pStyle w:val="ToolBody"/>
      </w:pPr>
      <w:r>
        <w:t>Effect: with the separate repair stress, available cash falls to $33,007.07 in Week 4. Owner: buyer coordinates payer specialist and CPA. Next evidence: written permitted billing path, effective details, payment-routing confirmation, and a revised cash schedule. Deadline: before the contractual commitment identified by counsel.</w:t>
      </w:r>
    </w:p>
    <w:p>
      <w:pPr>
        <w:pStyle w:val="ToolBody"/>
      </w:pPr>
      <w:r>
        <w:t>Proposed response: delay or restructure only if legally and contractually available; otherwise establish funded, documented coverage or do not proceed. No agreed remedy is claimed. Enrollment approval alone does not close the issue. Recheck proof and cash availability before changing status.</w:t>
      </w:r>
    </w:p>
    <w:p>
      <w:pPr>
        <w:pStyle w:val="ToolHeading"/>
      </w:pPr>
      <w:r>
        <w:t>Your issue</w:t>
      </w:r>
    </w:p>
    <w:p>
      <w:pPr>
        <w:pStyle w:val="ToolField"/>
      </w:pPr>
      <w:r>
        <w:rPr>
          <w:b/>
        </w:rPr>
        <w:t>Issue ID, finding, and evidence location</w:t>
        <w:br/>
      </w:r>
      <w:r>
        <w:t>__________________________________________________________________</w:t>
      </w:r>
    </w:p>
    <w:p>
      <w:pPr>
        <w:pStyle w:val="ToolField"/>
      </w:pPr>
      <w:r>
        <w:rPr>
          <w:b/>
        </w:rPr>
        <w:t>What remains unknown and assigned reviewer</w:t>
        <w:br/>
      </w:r>
      <w:r>
        <w:t>__________________________________________________________________</w:t>
      </w:r>
    </w:p>
    <w:p>
      <w:pPr>
        <w:pStyle w:val="ToolField"/>
      </w:pPr>
      <w:r>
        <w:rPr>
          <w:b/>
        </w:rPr>
        <w:t>Effect on price, cash, obligations, or safe operation</w:t>
        <w:br/>
      </w:r>
      <w:r>
        <w:t>__________________________________________________________________</w:t>
      </w:r>
    </w:p>
    <w:p>
      <w:pPr>
        <w:pStyle w:val="ToolField"/>
      </w:pPr>
      <w:r>
        <w:rPr>
          <w:b/>
        </w:rPr>
        <w:t>Proposed remedy, counterparty agreement, and document location</w:t>
        <w:br/>
      </w:r>
      <w:r>
        <w:t>__________________________________________________________________</w:t>
      </w:r>
    </w:p>
    <w:p>
      <w:pPr>
        <w:pStyle w:val="ToolField"/>
      </w:pPr>
      <w:r>
        <w:rPr>
          <w:b/>
        </w:rPr>
        <w:t>Owner, deadline, and contractual notice or exit date</w:t>
        <w:br/>
      </w:r>
      <w:r>
        <w:t>__________________________________________________________________</w:t>
      </w:r>
    </w:p>
    <w:p>
      <w:pPr>
        <w:pStyle w:val="ToolField"/>
      </w:pPr>
      <w:r>
        <w:rPr>
          <w:b/>
        </w:rPr>
        <w:t>Proof required and proof actually received</w:t>
        <w:br/>
      </w:r>
      <w:r>
        <w:t>__________________________________________________________________</w:t>
      </w:r>
    </w:p>
    <w:p>
      <w:pPr>
        <w:pStyle w:val="ToolField"/>
      </w:pPr>
      <w:r>
        <w:rPr>
          <w:b/>
        </w:rPr>
        <w:t>Residual risk, funding, monitoring, and buyer decision</w:t>
        <w:br/>
      </w:r>
      <w:r>
        <w:t>__________________________________________________________________</w:t>
      </w:r>
    </w:p>
    <w:p>
      <w:pPr>
        <w:pStyle w:val="ToolBody"/>
      </w:pPr>
      <w:r>
        <w:t>An accepted risk requires a reason and a workable response. It is not a way to relabel a prohibited or unsafe operating condition as complete.</w:t>
      </w:r>
    </w:p>
    <w:p>
      <w:pPr>
        <w:pStyle w:val="ToolTitle"/>
        <w:pageBreakBefore/>
      </w:pPr>
      <w:r>
        <w:t>Tool 14 Payer handoff record</w:t>
      </w:r>
    </w:p>
    <w:p>
      <w:pPr>
        <w:pStyle w:val="ToolReference"/>
      </w:pPr>
      <w:r>
        <w:t>Chapters 21 and 42</w:t>
      </w:r>
    </w:p>
    <w:p>
      <w:pPr>
        <w:pStyle w:val="ToolBody"/>
      </w:pPr>
      <w:r>
        <w:t>Use a separate record for each material payer, network, provider, and location combination. Keep specialist confirmation with the record. Do not infer buyer participation from the seller’s contract.</w:t>
      </w:r>
    </w:p>
    <w:p>
      <w:pPr>
        <w:pStyle w:val="ToolField"/>
      </w:pPr>
      <w:r>
        <w:rPr>
          <w:b/>
        </w:rPr>
        <w:t>Payer and governing network or contract</w:t>
        <w:br/>
      </w:r>
      <w:r>
        <w:t>__________________________________________________________________</w:t>
      </w:r>
    </w:p>
    <w:p>
      <w:pPr>
        <w:pStyle w:val="ToolField"/>
      </w:pPr>
      <w:r>
        <w:rPr>
          <w:b/>
        </w:rPr>
        <w:t>Buyer entity, tax identifier, billing and rendering identifiers, location</w:t>
        <w:br/>
      </w:r>
      <w:r>
        <w:t>__________________________________________________________________</w:t>
      </w:r>
    </w:p>
    <w:p>
      <w:pPr>
        <w:pStyle w:val="ToolField"/>
      </w:pPr>
      <w:r>
        <w:rPr>
          <w:b/>
        </w:rPr>
        <w:t>Fee schedule and allowed-amount evidence</w:t>
        <w:br/>
      </w:r>
      <w:r>
        <w:t>__________________________________________________________________</w:t>
      </w:r>
    </w:p>
    <w:p>
      <w:pPr>
        <w:pStyle w:val="ToolField"/>
      </w:pPr>
      <w:r>
        <w:rPr>
          <w:b/>
        </w:rPr>
        <w:t>Application or contract status and dated confirmation</w:t>
        <w:br/>
      </w:r>
      <w:r>
        <w:t>__________________________________________________________________</w:t>
      </w:r>
    </w:p>
    <w:p>
      <w:pPr>
        <w:pStyle w:val="ToolField"/>
      </w:pPr>
      <w:r>
        <w:rPr>
          <w:b/>
        </w:rPr>
        <w:t>Confirmed effective date and any unresolved condition</w:t>
        <w:br/>
      </w:r>
      <w:r>
        <w:t>__________________________________________________________________</w:t>
      </w:r>
    </w:p>
    <w:p>
      <w:pPr>
        <w:pStyle w:val="ToolField"/>
      </w:pPr>
      <w:r>
        <w:rPr>
          <w:b/>
        </w:rPr>
        <w:t>Permitted claim-submission path before and after that date</w:t>
        <w:br/>
      </w:r>
      <w:r>
        <w:t>__________________________________________________________________</w:t>
      </w:r>
    </w:p>
    <w:p>
      <w:pPr>
        <w:pStyle w:val="ToolField"/>
      </w:pPr>
      <w:r>
        <w:rPr>
          <w:b/>
        </w:rPr>
        <w:t>Electronic funds and remittance setup with correct buyer account</w:t>
        <w:br/>
      </w:r>
      <w:r>
        <w:t>__________________________________________________________________</w:t>
      </w:r>
    </w:p>
    <w:p>
      <w:pPr>
        <w:pStyle w:val="ToolField"/>
      </w:pPr>
      <w:r>
        <w:rPr>
          <w:b/>
        </w:rPr>
        <w:t>Patient communication required and person approving it</w:t>
        <w:br/>
      </w:r>
      <w:r>
        <w:t>__________________________________________________________________</w:t>
      </w:r>
    </w:p>
    <w:p>
      <w:pPr>
        <w:pStyle w:val="ToolField"/>
      </w:pPr>
      <w:r>
        <w:rPr>
          <w:b/>
        </w:rPr>
        <w:t>First submitted claim, acceptance, payment, and reconciled deposit</w:t>
        <w:br/>
      </w:r>
      <w:r>
        <w:t>__________________________________________________________________</w:t>
      </w:r>
    </w:p>
    <w:p>
      <w:pPr>
        <w:pStyle w:val="ToolField"/>
      </w:pPr>
      <w:r>
        <w:rPr>
          <w:b/>
        </w:rPr>
        <w:t>Cash exposed, expected receipt week, and slower-payment case</w:t>
        <w:br/>
      </w:r>
      <w:r>
        <w:t>__________________________________________________________________</w:t>
      </w:r>
    </w:p>
    <w:p>
      <w:pPr>
        <w:pStyle w:val="ToolField"/>
      </w:pPr>
      <w:r>
        <w:rPr>
          <w:b/>
        </w:rPr>
        <w:t>Owner, follow-up date, contingency, and escalation trigger</w:t>
        <w:br/>
      </w:r>
      <w:r>
        <w:t>__________________________________________________________________</w:t>
      </w:r>
    </w:p>
    <w:p>
      <w:pPr>
        <w:pStyle w:val="ToolBody"/>
      </w:pPr>
      <w:r>
        <w:t>Example: application approved but electronic deposit routing untested means the handoff remains incomplete. The specialist may establish another permitted path; record it and adjust the forecast before relying on it. “Submitted,” “effective,” and “paid” describe different events.</w:t>
      </w:r>
    </w:p>
    <w:p>
      <w:pPr>
        <w:pStyle w:val="ToolBody"/>
      </w:pPr>
      <w:r>
        <w:t>Store identifiers and supporting records securely. The public teaching case and shared author manuscript should not contain patient identifiers, bank credentials, or private employee data.</w:t>
      </w:r>
    </w:p>
    <w:p>
      <w:pPr>
        <w:pStyle w:val="ToolTitle"/>
        <w:pageBreakBefore/>
      </w:pPr>
      <w:r>
        <w:t>Tool 15 Closing countdown and operating test</w:t>
      </w:r>
    </w:p>
    <w:p>
      <w:pPr>
        <w:pStyle w:val="ToolReference"/>
      </w:pPr>
      <w:r>
        <w:t>Chapters 40 through 44</w:t>
      </w:r>
    </w:p>
    <w:p>
      <w:pPr>
        <w:pStyle w:val="ToolBody"/>
      </w:pPr>
      <w:r>
        <w:t>Work backward from the first clinical day and contractual deadlines. Add the adviser-specific requirements for this transaction. This is an operating organizer, not a complete legal closing checklist.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20"/>
        <w:gridCol w:w="2016"/>
        <w:gridCol w:w="2520"/>
        <w:gridCol w:w="2016"/>
      </w:tblGrid>
      <w:tr>
        <w:trPr>
          <w:cantSplit/>
          <w:tblHeader/>
        </w:trPr>
        <w:tc>
          <w:tcPr>
            <w:tcW w:type="dxa" w:w="2520"/>
            <w:vAlign w:val="center"/>
            <w:tcMar>
              <w:top w:w="65" w:type="dxa"/>
              <w:bottom w:w="65" w:type="dxa"/>
              <w:left w:w="90" w:type="dxa"/>
              <w:right w:w="90" w:type="dxa"/>
            </w:tcMar>
            <w:shd w:fill="E5E7EB"/>
          </w:tcPr>
          <w:p>
            <w:pPr>
              <w:pStyle w:val="ToolTable"/>
            </w:pPr>
            <w:r>
              <w:rPr>
                <w:b/>
              </w:rPr>
              <w:t>Critical task</w:t>
            </w:r>
          </w:p>
        </w:tc>
        <w:tc>
          <w:tcPr>
            <w:tcW w:type="dxa" w:w="2016"/>
            <w:vAlign w:val="center"/>
            <w:tcMar>
              <w:top w:w="65" w:type="dxa"/>
              <w:bottom w:w="65" w:type="dxa"/>
              <w:left w:w="90" w:type="dxa"/>
              <w:right w:w="90" w:type="dxa"/>
            </w:tcMar>
            <w:shd w:fill="E5E7EB"/>
          </w:tcPr>
          <w:p>
            <w:pPr>
              <w:pStyle w:val="ToolTable"/>
            </w:pPr>
            <w:r>
              <w:rPr>
                <w:b/>
              </w:rPr>
              <w:t>Owner and due date</w:t>
            </w:r>
          </w:p>
        </w:tc>
        <w:tc>
          <w:tcPr>
            <w:tcW w:type="dxa" w:w="2520"/>
            <w:vAlign w:val="center"/>
            <w:tcMar>
              <w:top w:w="65" w:type="dxa"/>
              <w:bottom w:w="65" w:type="dxa"/>
              <w:left w:w="90" w:type="dxa"/>
              <w:right w:w="90" w:type="dxa"/>
            </w:tcMar>
            <w:shd w:fill="E5E7EB"/>
          </w:tcPr>
          <w:p>
            <w:pPr>
              <w:pStyle w:val="ToolTable"/>
            </w:pPr>
            <w:r>
              <w:rPr>
                <w:b/>
              </w:rPr>
              <w:t>Proof and location</w:t>
            </w:r>
          </w:p>
        </w:tc>
        <w:tc>
          <w:tcPr>
            <w:tcW w:type="dxa" w:w="2016"/>
            <w:vAlign w:val="center"/>
            <w:tcMar>
              <w:top w:w="65" w:type="dxa"/>
              <w:bottom w:w="65" w:type="dxa"/>
              <w:left w:w="90" w:type="dxa"/>
              <w:right w:w="90" w:type="dxa"/>
            </w:tcMar>
            <w:shd w:fill="E5E7EB"/>
          </w:tcPr>
          <w:p>
            <w:pPr>
              <w:pStyle w:val="ToolTable"/>
            </w:pPr>
            <w:r>
              <w:rPr>
                <w:b/>
              </w:rPr>
              <w:t>Contingency</w:t>
            </w:r>
          </w:p>
        </w:tc>
      </w:tr>
      <w:tr>
        <w:trPr>
          <w:cantSplit/>
        </w:trPr>
        <w:tc>
          <w:tcPr>
            <w:tcW w:type="dxa" w:w="2520"/>
            <w:vAlign w:val="center"/>
            <w:tcMar>
              <w:top w:w="65" w:type="dxa"/>
              <w:bottom w:w="65" w:type="dxa"/>
              <w:left w:w="90" w:type="dxa"/>
              <w:right w:w="90" w:type="dxa"/>
            </w:tcMar>
            <w:shd w:fill="FFFFFF"/>
          </w:tcPr>
          <w:p>
            <w:pPr>
              <w:pStyle w:val="ToolTable"/>
            </w:pPr>
            <w:r>
              <w:t>Entity, identifiers, licenses, coverage</w:t>
            </w:r>
          </w:p>
        </w:tc>
        <w:tc>
          <w:tcPr>
            <w:tcW w:type="dxa" w:w="2016"/>
            <w:vAlign w:val="center"/>
            <w:tcMar>
              <w:top w:w="65" w:type="dxa"/>
              <w:bottom w:w="65" w:type="dxa"/>
              <w:left w:w="90" w:type="dxa"/>
              <w:right w:w="90" w:type="dxa"/>
            </w:tcMar>
            <w:shd w:fill="FFFFFF"/>
          </w:tcPr>
          <w:p>
            <w:pPr>
              <w:pStyle w:val="ToolTable"/>
            </w:pPr>
            <w:r/>
          </w:p>
        </w:tc>
        <w:tc>
          <w:tcPr>
            <w:tcW w:type="dxa" w:w="2520"/>
            <w:vAlign w:val="center"/>
            <w:tcMar>
              <w:top w:w="65" w:type="dxa"/>
              <w:bottom w:w="65" w:type="dxa"/>
              <w:left w:w="90" w:type="dxa"/>
              <w:right w:w="90" w:type="dxa"/>
            </w:tcMar>
            <w:shd w:fill="FFFFFF"/>
          </w:tcPr>
          <w:p>
            <w:pPr>
              <w:pStyle w:val="ToolTable"/>
            </w:pPr>
            <w:r/>
          </w:p>
        </w:tc>
        <w:tc>
          <w:tcPr>
            <w:tcW w:type="dxa" w:w="2016"/>
            <w:vAlign w:val="center"/>
            <w:tcMar>
              <w:top w:w="65" w:type="dxa"/>
              <w:bottom w:w="65" w:type="dxa"/>
              <w:left w:w="90" w:type="dxa"/>
              <w:right w:w="90" w:type="dxa"/>
            </w:tcMar>
            <w:shd w:fill="FFFFFF"/>
          </w:tcPr>
          <w:p>
            <w:pPr>
              <w:pStyle w:val="ToolTable"/>
            </w:pPr>
            <w:r/>
          </w:p>
        </w:tc>
      </w:tr>
      <w:tr>
        <w:trPr>
          <w:cantSplit/>
        </w:trPr>
        <w:tc>
          <w:tcPr>
            <w:tcW w:type="dxa" w:w="2520"/>
            <w:vAlign w:val="center"/>
            <w:tcMar>
              <w:top w:w="65" w:type="dxa"/>
              <w:bottom w:w="65" w:type="dxa"/>
              <w:left w:w="90" w:type="dxa"/>
              <w:right w:w="90" w:type="dxa"/>
            </w:tcMar>
            <w:shd w:fill="FFFFFF"/>
          </w:tcPr>
          <w:p>
            <w:pPr>
              <w:pStyle w:val="ToolTable"/>
            </w:pPr>
            <w:r>
              <w:t>Payer and payment readiness</w:t>
            </w:r>
          </w:p>
        </w:tc>
        <w:tc>
          <w:tcPr>
            <w:tcW w:type="dxa" w:w="2016"/>
            <w:vAlign w:val="center"/>
            <w:tcMar>
              <w:top w:w="65" w:type="dxa"/>
              <w:bottom w:w="65" w:type="dxa"/>
              <w:left w:w="90" w:type="dxa"/>
              <w:right w:w="90" w:type="dxa"/>
            </w:tcMar>
            <w:shd w:fill="FFFFFF"/>
          </w:tcPr>
          <w:p>
            <w:pPr>
              <w:pStyle w:val="ToolTable"/>
            </w:pPr>
            <w:r/>
          </w:p>
        </w:tc>
        <w:tc>
          <w:tcPr>
            <w:tcW w:type="dxa" w:w="2520"/>
            <w:vAlign w:val="center"/>
            <w:tcMar>
              <w:top w:w="65" w:type="dxa"/>
              <w:bottom w:w="65" w:type="dxa"/>
              <w:left w:w="90" w:type="dxa"/>
              <w:right w:w="90" w:type="dxa"/>
            </w:tcMar>
            <w:shd w:fill="FFFFFF"/>
          </w:tcPr>
          <w:p>
            <w:pPr>
              <w:pStyle w:val="ToolTable"/>
            </w:pPr>
            <w:r/>
          </w:p>
        </w:tc>
        <w:tc>
          <w:tcPr>
            <w:tcW w:type="dxa" w:w="2016"/>
            <w:vAlign w:val="center"/>
            <w:tcMar>
              <w:top w:w="65" w:type="dxa"/>
              <w:bottom w:w="65" w:type="dxa"/>
              <w:left w:w="90" w:type="dxa"/>
              <w:right w:w="90" w:type="dxa"/>
            </w:tcMar>
            <w:shd w:fill="FFFFFF"/>
          </w:tcPr>
          <w:p>
            <w:pPr>
              <w:pStyle w:val="ToolTable"/>
            </w:pPr>
            <w:r/>
          </w:p>
        </w:tc>
      </w:tr>
      <w:tr>
        <w:trPr>
          <w:cantSplit/>
        </w:trPr>
        <w:tc>
          <w:tcPr>
            <w:tcW w:type="dxa" w:w="2520"/>
            <w:vAlign w:val="center"/>
            <w:tcMar>
              <w:top w:w="65" w:type="dxa"/>
              <w:bottom w:w="65" w:type="dxa"/>
              <w:left w:w="90" w:type="dxa"/>
              <w:right w:w="90" w:type="dxa"/>
            </w:tcMar>
            <w:shd w:fill="FFFFFF"/>
          </w:tcPr>
          <w:p>
            <w:pPr>
              <w:pStyle w:val="ToolTable"/>
            </w:pPr>
            <w:r>
              <w:t>Payroll roster and funding</w:t>
            </w:r>
          </w:p>
        </w:tc>
        <w:tc>
          <w:tcPr>
            <w:tcW w:type="dxa" w:w="2016"/>
            <w:vAlign w:val="center"/>
            <w:tcMar>
              <w:top w:w="65" w:type="dxa"/>
              <w:bottom w:w="65" w:type="dxa"/>
              <w:left w:w="90" w:type="dxa"/>
              <w:right w:w="90" w:type="dxa"/>
            </w:tcMar>
            <w:shd w:fill="FFFFFF"/>
          </w:tcPr>
          <w:p>
            <w:pPr>
              <w:pStyle w:val="ToolTable"/>
            </w:pPr>
            <w:r/>
          </w:p>
        </w:tc>
        <w:tc>
          <w:tcPr>
            <w:tcW w:type="dxa" w:w="2520"/>
            <w:vAlign w:val="center"/>
            <w:tcMar>
              <w:top w:w="65" w:type="dxa"/>
              <w:bottom w:w="65" w:type="dxa"/>
              <w:left w:w="90" w:type="dxa"/>
              <w:right w:w="90" w:type="dxa"/>
            </w:tcMar>
            <w:shd w:fill="FFFFFF"/>
          </w:tcPr>
          <w:p>
            <w:pPr>
              <w:pStyle w:val="ToolTable"/>
            </w:pPr>
            <w:r/>
          </w:p>
        </w:tc>
        <w:tc>
          <w:tcPr>
            <w:tcW w:type="dxa" w:w="2016"/>
            <w:vAlign w:val="center"/>
            <w:tcMar>
              <w:top w:w="65" w:type="dxa"/>
              <w:bottom w:w="65" w:type="dxa"/>
              <w:left w:w="90" w:type="dxa"/>
              <w:right w:w="90" w:type="dxa"/>
            </w:tcMar>
            <w:shd w:fill="FFFFFF"/>
          </w:tcPr>
          <w:p>
            <w:pPr>
              <w:pStyle w:val="ToolTable"/>
            </w:pPr>
            <w:r/>
          </w:p>
        </w:tc>
      </w:tr>
      <w:tr>
        <w:trPr>
          <w:cantSplit/>
        </w:trPr>
        <w:tc>
          <w:tcPr>
            <w:tcW w:type="dxa" w:w="2520"/>
            <w:vAlign w:val="center"/>
            <w:tcMar>
              <w:top w:w="65" w:type="dxa"/>
              <w:bottom w:w="65" w:type="dxa"/>
              <w:left w:w="90" w:type="dxa"/>
              <w:right w:w="90" w:type="dxa"/>
            </w:tcMar>
            <w:shd w:fill="FFFFFF"/>
          </w:tcPr>
          <w:p>
            <w:pPr>
              <w:pStyle w:val="ToolTable"/>
            </w:pPr>
            <w:r>
              <w:t>Bank and merchant control</w:t>
            </w:r>
          </w:p>
        </w:tc>
        <w:tc>
          <w:tcPr>
            <w:tcW w:type="dxa" w:w="2016"/>
            <w:vAlign w:val="center"/>
            <w:tcMar>
              <w:top w:w="65" w:type="dxa"/>
              <w:bottom w:w="65" w:type="dxa"/>
              <w:left w:w="90" w:type="dxa"/>
              <w:right w:w="90" w:type="dxa"/>
            </w:tcMar>
            <w:shd w:fill="FFFFFF"/>
          </w:tcPr>
          <w:p>
            <w:pPr>
              <w:pStyle w:val="ToolTable"/>
            </w:pPr>
            <w:r/>
          </w:p>
        </w:tc>
        <w:tc>
          <w:tcPr>
            <w:tcW w:type="dxa" w:w="2520"/>
            <w:vAlign w:val="center"/>
            <w:tcMar>
              <w:top w:w="65" w:type="dxa"/>
              <w:bottom w:w="65" w:type="dxa"/>
              <w:left w:w="90" w:type="dxa"/>
              <w:right w:w="90" w:type="dxa"/>
            </w:tcMar>
            <w:shd w:fill="FFFFFF"/>
          </w:tcPr>
          <w:p>
            <w:pPr>
              <w:pStyle w:val="ToolTable"/>
            </w:pPr>
            <w:r/>
          </w:p>
        </w:tc>
        <w:tc>
          <w:tcPr>
            <w:tcW w:type="dxa" w:w="2016"/>
            <w:vAlign w:val="center"/>
            <w:tcMar>
              <w:top w:w="65" w:type="dxa"/>
              <w:bottom w:w="65" w:type="dxa"/>
              <w:left w:w="90" w:type="dxa"/>
              <w:right w:w="90" w:type="dxa"/>
            </w:tcMar>
            <w:shd w:fill="FFFFFF"/>
          </w:tcPr>
          <w:p>
            <w:pPr>
              <w:pStyle w:val="ToolTable"/>
            </w:pPr>
            <w:r/>
          </w:p>
        </w:tc>
      </w:tr>
      <w:tr>
        <w:trPr>
          <w:cantSplit/>
        </w:trPr>
        <w:tc>
          <w:tcPr>
            <w:tcW w:type="dxa" w:w="2520"/>
            <w:vAlign w:val="center"/>
            <w:tcMar>
              <w:top w:w="65" w:type="dxa"/>
              <w:bottom w:w="65" w:type="dxa"/>
              <w:left w:w="90" w:type="dxa"/>
              <w:right w:w="90" w:type="dxa"/>
            </w:tcMar>
            <w:shd w:fill="FFFFFF"/>
          </w:tcPr>
          <w:p>
            <w:pPr>
              <w:pStyle w:val="ToolTable"/>
            </w:pPr>
            <w:r>
              <w:t>Records, software, recovery test</w:t>
            </w:r>
          </w:p>
        </w:tc>
        <w:tc>
          <w:tcPr>
            <w:tcW w:type="dxa" w:w="2016"/>
            <w:vAlign w:val="center"/>
            <w:tcMar>
              <w:top w:w="65" w:type="dxa"/>
              <w:bottom w:w="65" w:type="dxa"/>
              <w:left w:w="90" w:type="dxa"/>
              <w:right w:w="90" w:type="dxa"/>
            </w:tcMar>
            <w:shd w:fill="FFFFFF"/>
          </w:tcPr>
          <w:p>
            <w:pPr>
              <w:pStyle w:val="ToolTable"/>
            </w:pPr>
            <w:r/>
          </w:p>
        </w:tc>
        <w:tc>
          <w:tcPr>
            <w:tcW w:type="dxa" w:w="2520"/>
            <w:vAlign w:val="center"/>
            <w:tcMar>
              <w:top w:w="65" w:type="dxa"/>
              <w:bottom w:w="65" w:type="dxa"/>
              <w:left w:w="90" w:type="dxa"/>
              <w:right w:w="90" w:type="dxa"/>
            </w:tcMar>
            <w:shd w:fill="FFFFFF"/>
          </w:tcPr>
          <w:p>
            <w:pPr>
              <w:pStyle w:val="ToolTable"/>
            </w:pPr>
            <w:r/>
          </w:p>
        </w:tc>
        <w:tc>
          <w:tcPr>
            <w:tcW w:type="dxa" w:w="2016"/>
            <w:vAlign w:val="center"/>
            <w:tcMar>
              <w:top w:w="65" w:type="dxa"/>
              <w:bottom w:w="65" w:type="dxa"/>
              <w:left w:w="90" w:type="dxa"/>
              <w:right w:w="90" w:type="dxa"/>
            </w:tcMar>
            <w:shd w:fill="FFFFFF"/>
          </w:tcPr>
          <w:p>
            <w:pPr>
              <w:pStyle w:val="ToolTable"/>
            </w:pPr>
            <w:r/>
          </w:p>
        </w:tc>
      </w:tr>
      <w:tr>
        <w:trPr>
          <w:cantSplit/>
        </w:trPr>
        <w:tc>
          <w:tcPr>
            <w:tcW w:type="dxa" w:w="2520"/>
            <w:vAlign w:val="center"/>
            <w:tcMar>
              <w:top w:w="65" w:type="dxa"/>
              <w:bottom w:w="65" w:type="dxa"/>
              <w:left w:w="90" w:type="dxa"/>
              <w:right w:w="90" w:type="dxa"/>
            </w:tcMar>
            <w:shd w:fill="FFFFFF"/>
          </w:tcPr>
          <w:p>
            <w:pPr>
              <w:pStyle w:val="ToolTable"/>
            </w:pPr>
            <w:r>
              <w:t>Clinical supplies and equipment</w:t>
            </w:r>
          </w:p>
        </w:tc>
        <w:tc>
          <w:tcPr>
            <w:tcW w:type="dxa" w:w="2016"/>
            <w:vAlign w:val="center"/>
            <w:tcMar>
              <w:top w:w="65" w:type="dxa"/>
              <w:bottom w:w="65" w:type="dxa"/>
              <w:left w:w="90" w:type="dxa"/>
              <w:right w:w="90" w:type="dxa"/>
            </w:tcMar>
            <w:shd w:fill="FFFFFF"/>
          </w:tcPr>
          <w:p>
            <w:pPr>
              <w:pStyle w:val="ToolTable"/>
            </w:pPr>
            <w:r/>
          </w:p>
        </w:tc>
        <w:tc>
          <w:tcPr>
            <w:tcW w:type="dxa" w:w="2520"/>
            <w:vAlign w:val="center"/>
            <w:tcMar>
              <w:top w:w="65" w:type="dxa"/>
              <w:bottom w:w="65" w:type="dxa"/>
              <w:left w:w="90" w:type="dxa"/>
              <w:right w:w="90" w:type="dxa"/>
            </w:tcMar>
            <w:shd w:fill="FFFFFF"/>
          </w:tcPr>
          <w:p>
            <w:pPr>
              <w:pStyle w:val="ToolTable"/>
            </w:pPr>
            <w:r/>
          </w:p>
        </w:tc>
        <w:tc>
          <w:tcPr>
            <w:tcW w:type="dxa" w:w="2016"/>
            <w:vAlign w:val="center"/>
            <w:tcMar>
              <w:top w:w="65" w:type="dxa"/>
              <w:bottom w:w="65" w:type="dxa"/>
              <w:left w:w="90" w:type="dxa"/>
              <w:right w:w="90" w:type="dxa"/>
            </w:tcMar>
            <w:shd w:fill="FFFFFF"/>
          </w:tcPr>
          <w:p>
            <w:pPr>
              <w:pStyle w:val="ToolTable"/>
            </w:pPr>
            <w:r/>
          </w:p>
        </w:tc>
      </w:tr>
      <w:tr>
        <w:trPr>
          <w:cantSplit/>
        </w:trPr>
        <w:tc>
          <w:tcPr>
            <w:tcW w:type="dxa" w:w="2520"/>
            <w:vAlign w:val="center"/>
            <w:tcMar>
              <w:top w:w="65" w:type="dxa"/>
              <w:bottom w:w="65" w:type="dxa"/>
              <w:left w:w="90" w:type="dxa"/>
              <w:right w:w="90" w:type="dxa"/>
            </w:tcMar>
            <w:shd w:fill="FFFFFF"/>
          </w:tcPr>
          <w:p>
            <w:pPr>
              <w:pStyle w:val="ToolTable"/>
            </w:pPr>
            <w:r>
              <w:t>Team and patient announcements</w:t>
            </w:r>
          </w:p>
        </w:tc>
        <w:tc>
          <w:tcPr>
            <w:tcW w:type="dxa" w:w="2016"/>
            <w:vAlign w:val="center"/>
            <w:tcMar>
              <w:top w:w="65" w:type="dxa"/>
              <w:bottom w:w="65" w:type="dxa"/>
              <w:left w:w="90" w:type="dxa"/>
              <w:right w:w="90" w:type="dxa"/>
            </w:tcMar>
            <w:shd w:fill="FFFFFF"/>
          </w:tcPr>
          <w:p>
            <w:pPr>
              <w:pStyle w:val="ToolTable"/>
            </w:pPr>
            <w:r/>
          </w:p>
        </w:tc>
        <w:tc>
          <w:tcPr>
            <w:tcW w:type="dxa" w:w="2520"/>
            <w:vAlign w:val="center"/>
            <w:tcMar>
              <w:top w:w="65" w:type="dxa"/>
              <w:bottom w:w="65" w:type="dxa"/>
              <w:left w:w="90" w:type="dxa"/>
              <w:right w:w="90" w:type="dxa"/>
            </w:tcMar>
            <w:shd w:fill="FFFFFF"/>
          </w:tcPr>
          <w:p>
            <w:pPr>
              <w:pStyle w:val="ToolTable"/>
            </w:pPr>
            <w:r/>
          </w:p>
        </w:tc>
        <w:tc>
          <w:tcPr>
            <w:tcW w:type="dxa" w:w="2016"/>
            <w:vAlign w:val="center"/>
            <w:tcMar>
              <w:top w:w="65" w:type="dxa"/>
              <w:bottom w:w="65" w:type="dxa"/>
              <w:left w:w="90" w:type="dxa"/>
              <w:right w:w="90" w:type="dxa"/>
            </w:tcMar>
            <w:shd w:fill="FFFFFF"/>
          </w:tcPr>
          <w:p>
            <w:pPr>
              <w:pStyle w:val="ToolTable"/>
            </w:pPr>
            <w:r/>
          </w:p>
        </w:tc>
      </w:tr>
      <w:tr>
        <w:trPr>
          <w:cantSplit/>
        </w:trPr>
        <w:tc>
          <w:tcPr>
            <w:tcW w:type="dxa" w:w="2520"/>
            <w:vAlign w:val="center"/>
            <w:tcMar>
              <w:top w:w="65" w:type="dxa"/>
              <w:bottom w:w="65" w:type="dxa"/>
              <w:left w:w="90" w:type="dxa"/>
              <w:right w:w="90" w:type="dxa"/>
            </w:tcMar>
            <w:shd w:fill="FFFFFF"/>
          </w:tcPr>
          <w:p>
            <w:pPr>
              <w:pStyle w:val="ToolTable"/>
            </w:pPr>
            <w:r>
              <w:t>Lease, access, and final documents</w:t>
            </w:r>
          </w:p>
        </w:tc>
        <w:tc>
          <w:tcPr>
            <w:tcW w:type="dxa" w:w="2016"/>
            <w:vAlign w:val="center"/>
            <w:tcMar>
              <w:top w:w="65" w:type="dxa"/>
              <w:bottom w:w="65" w:type="dxa"/>
              <w:left w:w="90" w:type="dxa"/>
              <w:right w:w="90" w:type="dxa"/>
            </w:tcMar>
            <w:shd w:fill="FFFFFF"/>
          </w:tcPr>
          <w:p>
            <w:pPr>
              <w:pStyle w:val="ToolTable"/>
            </w:pPr>
            <w:r/>
          </w:p>
        </w:tc>
        <w:tc>
          <w:tcPr>
            <w:tcW w:type="dxa" w:w="2520"/>
            <w:vAlign w:val="center"/>
            <w:tcMar>
              <w:top w:w="65" w:type="dxa"/>
              <w:bottom w:w="65" w:type="dxa"/>
              <w:left w:w="90" w:type="dxa"/>
              <w:right w:w="90" w:type="dxa"/>
            </w:tcMar>
            <w:shd w:fill="FFFFFF"/>
          </w:tcPr>
          <w:p>
            <w:pPr>
              <w:pStyle w:val="ToolTable"/>
            </w:pPr>
            <w:r/>
          </w:p>
        </w:tc>
        <w:tc>
          <w:tcPr>
            <w:tcW w:type="dxa" w:w="2016"/>
            <w:vAlign w:val="center"/>
            <w:tcMar>
              <w:top w:w="65" w:type="dxa"/>
              <w:bottom w:w="65" w:type="dxa"/>
              <w:left w:w="90" w:type="dxa"/>
              <w:right w:w="90" w:type="dxa"/>
            </w:tcMar>
            <w:shd w:fill="FFFFFF"/>
          </w:tcPr>
          <w:p>
            <w:pPr>
              <w:pStyle w:val="ToolTable"/>
            </w:pPr>
            <w:r/>
          </w:p>
        </w:tc>
      </w:tr>
    </w:tbl>
    <w:p>
      <w:pPr>
        <w:pStyle w:val="ToolBody"/>
        <w:spacing w:after="20"/>
      </w:pPr>
    </w:p>
    <w:p>
      <w:pPr>
        <w:pStyle w:val="ToolField"/>
      </w:pPr>
      <w:r>
        <w:rPr>
          <w:b/>
        </w:rPr>
        <w:t>Dependency that could delay several other tasks</w:t>
        <w:br/>
      </w:r>
      <w:r>
        <w:t>__________________________________________________________________</w:t>
      </w:r>
    </w:p>
    <w:p>
      <w:pPr>
        <w:pStyle w:val="ToolField"/>
      </w:pPr>
      <w:r>
        <w:rPr>
          <w:b/>
        </w:rPr>
        <w:t>Task still incomplete and latest safe resolution date</w:t>
        <w:br/>
      </w:r>
      <w:r>
        <w:t>__________________________________________________________________</w:t>
      </w:r>
    </w:p>
    <w:p>
      <w:pPr>
        <w:pStyle w:val="ToolField"/>
      </w:pPr>
      <w:r>
        <w:rPr>
          <w:b/>
        </w:rPr>
        <w:t>Monday rehearsal result and person who witnessed the test</w:t>
        <w:br/>
      </w:r>
      <w:r>
        <w:t>__________________________________________________________________</w:t>
      </w:r>
    </w:p>
    <w:p>
      <w:pPr>
        <w:pStyle w:val="ToolField"/>
      </w:pPr>
      <w:r>
        <w:rPr>
          <w:b/>
        </w:rPr>
        <w:t>Wire verification through an independently trusted contact path</w:t>
        <w:br/>
      </w:r>
      <w:r>
        <w:t>__________________________________________________________________</w:t>
      </w:r>
    </w:p>
    <w:p>
      <w:pPr>
        <w:pStyle w:val="ToolField"/>
      </w:pPr>
      <w:r>
        <w:rPr>
          <w:b/>
        </w:rPr>
        <w:t>Documented decision on any exception with counsel as needed</w:t>
        <w:br/>
      </w:r>
      <w:r>
        <w:t>__________________________________________________________________</w:t>
      </w:r>
    </w:p>
    <w:p>
      <w:pPr>
        <w:pStyle w:val="ToolBody"/>
      </w:pPr>
      <w:r>
        <w:t>A rehearsal follows a permitted test from scheduling and clinical readiness through billing, payment routing, and payroll. Use approved test methods; do not submit a false patient claim to test a system. Require proof of completion, not merely an email saying someone is working on it.</w:t>
      </w:r>
    </w:p>
    <w:p>
      <w:pPr>
        <w:pStyle w:val="ToolBody"/>
      </w:pPr>
      <w:r>
        <w:t>If a critical prerequisite remains open, completing another row does not make the practice ready. Escalate early enough for counsel to address remedies and contractual deadlines.</w:t>
      </w:r>
    </w:p>
    <w:p>
      <w:pPr>
        <w:pStyle w:val="ToolTitle"/>
        <w:pageBreakBefore/>
      </w:pPr>
      <w:r>
        <w:t>Tool 16 First hundred days and weekly review</w:t>
      </w:r>
    </w:p>
    <w:p>
      <w:pPr>
        <w:pStyle w:val="ToolReference"/>
      </w:pPr>
      <w:r>
        <w:t>Chapters 45 through 54</w:t>
      </w:r>
    </w:p>
    <w:p>
      <w:pPr>
        <w:pStyle w:val="ToolBody"/>
      </w:pPr>
      <w:r>
        <w:t>Carry unresolved handoff tasks forward. Keep the first month focused on safe care, team clarity, reliable cash, and understanding the operation.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40"/>
        <w:gridCol w:w="3744"/>
        <w:gridCol w:w="3888"/>
      </w:tblGrid>
      <w:tr>
        <w:trPr>
          <w:cantSplit/>
          <w:tblHeader/>
        </w:trPr>
        <w:tc>
          <w:tcPr>
            <w:tcW w:type="dxa" w:w="1440"/>
            <w:vAlign w:val="center"/>
            <w:tcMar>
              <w:top w:w="65" w:type="dxa"/>
              <w:bottom w:w="65" w:type="dxa"/>
              <w:left w:w="90" w:type="dxa"/>
              <w:right w:w="90" w:type="dxa"/>
            </w:tcMar>
            <w:shd w:fill="E5E7EB"/>
          </w:tcPr>
          <w:p>
            <w:pPr>
              <w:pStyle w:val="ToolTable"/>
            </w:pPr>
            <w:r>
              <w:rPr>
                <w:b/>
              </w:rPr>
              <w:t>Review</w:t>
            </w:r>
          </w:p>
        </w:tc>
        <w:tc>
          <w:tcPr>
            <w:tcW w:type="dxa" w:w="3744"/>
            <w:vAlign w:val="center"/>
            <w:tcMar>
              <w:top w:w="65" w:type="dxa"/>
              <w:bottom w:w="65" w:type="dxa"/>
              <w:left w:w="90" w:type="dxa"/>
              <w:right w:w="90" w:type="dxa"/>
            </w:tcMar>
            <w:shd w:fill="E5E7EB"/>
          </w:tcPr>
          <w:p>
            <w:pPr>
              <w:pStyle w:val="ToolTable"/>
            </w:pPr>
            <w:r>
              <w:rPr>
                <w:b/>
              </w:rPr>
              <w:t>Evidence to bring</w:t>
            </w:r>
          </w:p>
        </w:tc>
        <w:tc>
          <w:tcPr>
            <w:tcW w:type="dxa" w:w="3888"/>
            <w:vAlign w:val="center"/>
            <w:tcMar>
              <w:top w:w="65" w:type="dxa"/>
              <w:bottom w:w="65" w:type="dxa"/>
              <w:left w:w="90" w:type="dxa"/>
              <w:right w:w="90" w:type="dxa"/>
            </w:tcMar>
            <w:shd w:fill="E5E7EB"/>
          </w:tcPr>
          <w:p>
            <w:pPr>
              <w:pStyle w:val="ToolTable"/>
            </w:pPr>
            <w:r>
              <w:rPr>
                <w:b/>
              </w:rPr>
              <w:t>Decision to record</w:t>
            </w:r>
          </w:p>
        </w:tc>
      </w:tr>
      <w:tr>
        <w:trPr>
          <w:cantSplit/>
        </w:trPr>
        <w:tc>
          <w:tcPr>
            <w:tcW w:type="dxa" w:w="1440"/>
            <w:vAlign w:val="center"/>
            <w:tcMar>
              <w:top w:w="65" w:type="dxa"/>
              <w:bottom w:w="65" w:type="dxa"/>
              <w:left w:w="90" w:type="dxa"/>
              <w:right w:w="90" w:type="dxa"/>
            </w:tcMar>
            <w:shd w:fill="FFFFFF"/>
          </w:tcPr>
          <w:p>
            <w:pPr>
              <w:pStyle w:val="ToolTable"/>
            </w:pPr>
            <w:r>
              <w:t>First clinical day</w:t>
            </w:r>
          </w:p>
        </w:tc>
        <w:tc>
          <w:tcPr>
            <w:tcW w:type="dxa" w:w="3744"/>
            <w:vAlign w:val="center"/>
            <w:tcMar>
              <w:top w:w="65" w:type="dxa"/>
              <w:bottom w:w="65" w:type="dxa"/>
              <w:left w:w="90" w:type="dxa"/>
              <w:right w:w="90" w:type="dxa"/>
            </w:tcMar>
            <w:shd w:fill="FFFFFF"/>
          </w:tcPr>
          <w:p>
            <w:pPr>
              <w:pStyle w:val="ToolTable"/>
            </w:pPr>
            <w:r>
              <w:t>Schedule, team questions, payroll and system readiness</w:t>
            </w:r>
          </w:p>
        </w:tc>
        <w:tc>
          <w:tcPr>
            <w:tcW w:type="dxa" w:w="3888"/>
            <w:vAlign w:val="center"/>
            <w:tcMar>
              <w:top w:w="65" w:type="dxa"/>
              <w:bottom w:w="65" w:type="dxa"/>
              <w:left w:w="90" w:type="dxa"/>
              <w:right w:w="90" w:type="dxa"/>
            </w:tcMar>
            <w:shd w:fill="FFFFFF"/>
          </w:tcPr>
          <w:p>
            <w:pPr>
              <w:pStyle w:val="ToolTable"/>
            </w:pPr>
            <w:r>
              <w:t>Who fixes each urgent gap</w:t>
            </w:r>
          </w:p>
        </w:tc>
      </w:tr>
      <w:tr>
        <w:trPr>
          <w:cantSplit/>
        </w:trPr>
        <w:tc>
          <w:tcPr>
            <w:tcW w:type="dxa" w:w="1440"/>
            <w:vAlign w:val="center"/>
            <w:tcMar>
              <w:top w:w="65" w:type="dxa"/>
              <w:bottom w:w="65" w:type="dxa"/>
              <w:left w:w="90" w:type="dxa"/>
              <w:right w:w="90" w:type="dxa"/>
            </w:tcMar>
            <w:shd w:fill="FFFFFF"/>
          </w:tcPr>
          <w:p>
            <w:pPr>
              <w:pStyle w:val="ToolTable"/>
            </w:pPr>
            <w:r>
              <w:t>Day 30</w:t>
            </w:r>
          </w:p>
        </w:tc>
        <w:tc>
          <w:tcPr>
            <w:tcW w:type="dxa" w:w="3744"/>
            <w:vAlign w:val="center"/>
            <w:tcMar>
              <w:top w:w="65" w:type="dxa"/>
              <w:bottom w:w="65" w:type="dxa"/>
              <w:left w:w="90" w:type="dxa"/>
              <w:right w:w="90" w:type="dxa"/>
            </w:tcMar>
            <w:shd w:fill="FFFFFF"/>
          </w:tcPr>
          <w:p>
            <w:pPr>
              <w:pStyle w:val="ToolTable"/>
            </w:pPr>
            <w:r>
              <w:t>Listening findings, actual cash, staffing, payer status</w:t>
            </w:r>
          </w:p>
        </w:tc>
        <w:tc>
          <w:tcPr>
            <w:tcW w:type="dxa" w:w="3888"/>
            <w:vAlign w:val="center"/>
            <w:tcMar>
              <w:top w:w="65" w:type="dxa"/>
              <w:bottom w:w="65" w:type="dxa"/>
              <w:left w:w="90" w:type="dxa"/>
              <w:right w:w="90" w:type="dxa"/>
            </w:tcMar>
            <w:shd w:fill="FFFFFF"/>
          </w:tcPr>
          <w:p>
            <w:pPr>
              <w:pStyle w:val="ToolTable"/>
            </w:pPr>
            <w:r>
              <w:t>What to protect and first controlled change</w:t>
            </w:r>
          </w:p>
        </w:tc>
      </w:tr>
      <w:tr>
        <w:trPr>
          <w:cantSplit/>
        </w:trPr>
        <w:tc>
          <w:tcPr>
            <w:tcW w:type="dxa" w:w="1440"/>
            <w:vAlign w:val="center"/>
            <w:tcMar>
              <w:top w:w="65" w:type="dxa"/>
              <w:bottom w:w="65" w:type="dxa"/>
              <w:left w:w="90" w:type="dxa"/>
              <w:right w:w="90" w:type="dxa"/>
            </w:tcMar>
            <w:shd w:fill="FFFFFF"/>
          </w:tcPr>
          <w:p>
            <w:pPr>
              <w:pStyle w:val="ToolTable"/>
            </w:pPr>
            <w:r>
              <w:t>Day 60</w:t>
            </w:r>
          </w:p>
        </w:tc>
        <w:tc>
          <w:tcPr>
            <w:tcW w:type="dxa" w:w="3744"/>
            <w:vAlign w:val="center"/>
            <w:tcMar>
              <w:top w:w="65" w:type="dxa"/>
              <w:bottom w:w="65" w:type="dxa"/>
              <w:left w:w="90" w:type="dxa"/>
              <w:right w:w="90" w:type="dxa"/>
            </w:tcMar>
            <w:shd w:fill="FFFFFF"/>
          </w:tcPr>
          <w:p>
            <w:pPr>
              <w:pStyle w:val="ToolTable"/>
            </w:pPr>
            <w:r>
              <w:t>Provider and patient trends, project results, updated forecast</w:t>
            </w:r>
          </w:p>
        </w:tc>
        <w:tc>
          <w:tcPr>
            <w:tcW w:type="dxa" w:w="3888"/>
            <w:vAlign w:val="center"/>
            <w:tcMar>
              <w:top w:w="65" w:type="dxa"/>
              <w:bottom w:w="65" w:type="dxa"/>
              <w:left w:w="90" w:type="dxa"/>
              <w:right w:w="90" w:type="dxa"/>
            </w:tcMar>
            <w:shd w:fill="FFFFFF"/>
          </w:tcPr>
          <w:p>
            <w:pPr>
              <w:pStyle w:val="ToolTable"/>
            </w:pPr>
            <w:r>
              <w:t>Continue, revise, or stop each project</w:t>
            </w:r>
          </w:p>
        </w:tc>
      </w:tr>
      <w:tr>
        <w:trPr>
          <w:cantSplit/>
        </w:trPr>
        <w:tc>
          <w:tcPr>
            <w:tcW w:type="dxa" w:w="1440"/>
            <w:vAlign w:val="center"/>
            <w:tcMar>
              <w:top w:w="65" w:type="dxa"/>
              <w:bottom w:w="65" w:type="dxa"/>
              <w:left w:w="90" w:type="dxa"/>
              <w:right w:w="90" w:type="dxa"/>
            </w:tcMar>
            <w:shd w:fill="FFFFFF"/>
          </w:tcPr>
          <w:p>
            <w:pPr>
              <w:pStyle w:val="ToolTable"/>
            </w:pPr>
            <w:r>
              <w:t>Day 100</w:t>
            </w:r>
          </w:p>
        </w:tc>
        <w:tc>
          <w:tcPr>
            <w:tcW w:type="dxa" w:w="3744"/>
            <w:vAlign w:val="center"/>
            <w:tcMar>
              <w:top w:w="65" w:type="dxa"/>
              <w:bottom w:w="65" w:type="dxa"/>
              <w:left w:w="90" w:type="dxa"/>
              <w:right w:w="90" w:type="dxa"/>
            </w:tcMar>
            <w:shd w:fill="FFFFFF"/>
          </w:tcPr>
          <w:p>
            <w:pPr>
              <w:pStyle w:val="ToolTable"/>
            </w:pPr>
            <w:r>
              <w:t>Acquisition assumptions versus operating evidence</w:t>
            </w:r>
          </w:p>
        </w:tc>
        <w:tc>
          <w:tcPr>
            <w:tcW w:type="dxa" w:w="3888"/>
            <w:vAlign w:val="center"/>
            <w:tcMar>
              <w:top w:w="65" w:type="dxa"/>
              <w:bottom w:w="65" w:type="dxa"/>
              <w:left w:w="90" w:type="dxa"/>
              <w:right w:w="90" w:type="dxa"/>
            </w:tcMar>
            <w:shd w:fill="FFFFFF"/>
          </w:tcPr>
          <w:p>
            <w:pPr>
              <w:pStyle w:val="ToolTable"/>
            </w:pPr>
            <w:r>
              <w:t>Funded priorities for Months 4–12</w:t>
            </w:r>
          </w:p>
        </w:tc>
      </w:tr>
    </w:tbl>
    <w:p>
      <w:pPr>
        <w:pStyle w:val="ToolBody"/>
        <w:spacing w:after="20"/>
      </w:pPr>
    </w:p>
    <w:p>
      <w:pPr>
        <w:pStyle w:val="ToolHeading"/>
      </w:pPr>
      <w:r>
        <w:t>Weekly cash and operating review</w:t>
      </w:r>
    </w:p>
    <w:p>
      <w:pPr>
        <w:pStyle w:val="ToolField"/>
      </w:pPr>
      <w:r>
        <w:rPr>
          <w:b/>
        </w:rPr>
        <w:t>Expected versus actual receipts and payments</w:t>
        <w:br/>
      </w:r>
      <w:r>
        <w:t>__________________________________________________________________</w:t>
      </w:r>
    </w:p>
    <w:p>
      <w:pPr>
        <w:pStyle w:val="ToolField"/>
      </w:pPr>
      <w:r>
        <w:rPr>
          <w:b/>
        </w:rPr>
        <w:t>Cause of variance: timing, volume, billing or deposit error, cost, or model error</w:t>
        <w:br/>
      </w:r>
      <w:r>
        <w:t>__________________________________________________________________</w:t>
      </w:r>
    </w:p>
    <w:p>
      <w:pPr>
        <w:pStyle w:val="ToolField"/>
      </w:pPr>
      <w:r>
        <w:rPr>
          <w:b/>
        </w:rPr>
        <w:t>Next payroll and tax dates and lowest projected cash</w:t>
        <w:br/>
      </w:r>
      <w:r>
        <w:t>__________________________________________________________________</w:t>
      </w:r>
    </w:p>
    <w:p>
      <w:pPr>
        <w:pStyle w:val="ToolField"/>
      </w:pPr>
      <w:r>
        <w:rPr>
          <w:b/>
        </w:rPr>
        <w:t>Action, accountable person, due date, and evidence of completion</w:t>
        <w:br/>
      </w:r>
      <w:r>
        <w:t>__________________________________________________________________</w:t>
      </w:r>
    </w:p>
    <w:p>
      <w:pPr>
        <w:pStyle w:val="ToolHeading"/>
      </w:pPr>
      <w:r>
        <w:t>One change to test</w:t>
      </w:r>
    </w:p>
    <w:p>
      <w:pPr>
        <w:pStyle w:val="ToolField"/>
      </w:pPr>
      <w:r>
        <w:rPr>
          <w:b/>
        </w:rPr>
        <w:t>Problem and baseline measure</w:t>
        <w:br/>
      </w:r>
      <w:r>
        <w:t>__________________________________________________________________</w:t>
      </w:r>
    </w:p>
    <w:p>
      <w:pPr>
        <w:pStyle w:val="ToolField"/>
      </w:pPr>
      <w:r>
        <w:rPr>
          <w:b/>
        </w:rPr>
        <w:t>Chosen change, cost, owner, and patient or team effect</w:t>
        <w:br/>
      </w:r>
      <w:r>
        <w:t>__________________________________________________________________</w:t>
      </w:r>
    </w:p>
    <w:p>
      <w:pPr>
        <w:pStyle w:val="ToolField"/>
      </w:pPr>
      <w:r>
        <w:rPr>
          <w:b/>
        </w:rPr>
        <w:t>Review date, success measure, and reason to stop</w:t>
        <w:br/>
      </w:r>
      <w:r>
        <w:t>__________________________________________________________________</w:t>
      </w:r>
    </w:p>
    <w:p>
      <w:pPr>
        <w:pStyle w:val="ToolField"/>
      </w:pPr>
      <w:r>
        <w:rPr>
          <w:b/>
        </w:rPr>
        <w:t>Household and owner workload check</w:t>
        <w:br/>
      </w:r>
      <w:r>
        <w:t>__________________________________________________________________</w:t>
      </w:r>
    </w:p>
    <w:p>
      <w:pPr>
        <w:pStyle w:val="ToolBody"/>
      </w:pPr>
      <w:r>
        <w:t>Before another acquisition, confirm that the current practice can tolerate the cash and attention it would lose. A growing bank balance or collection total does not by itself establish that staffing, leadership, or patient continuity can support expansion.</w:t>
      </w:r>
    </w:p>
    <w:sectPr w:rsidR="00FC693F" w:rsidRPr="0006063C" w:rsidSect="00034616">
      <w:footerReference w:type="default" r:id="rId9"/>
      <w:headerReference w:type="default" r:id="rId10"/>
      <w:pgSz w:w="12240" w:h="15840"/>
      <w:pgMar w:top="1152"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ToolReference"/>
    </w:pPr>
    <w:r>
      <w:t>BUY THE PRACTICE, NOT THE PROBLEMS  |  BUYER TOOLS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iberation Serif" w:hAnsi="Liberation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olTitle">
    <w:name w:val="Tool Title"/>
    <w:pPr>
      <w:keepNext/>
      <w:widowControl/>
      <w:spacing w:after="160" w:line="252" w:lineRule="auto"/>
    </w:pPr>
    <w:rPr>
      <w:rFonts w:ascii="Liberation Sans" w:hAnsi="Liberation Sans"/>
      <w:b/>
      <w:color w:val="000000"/>
      <w:sz w:val="32"/>
    </w:rPr>
  </w:style>
  <w:style w:type="paragraph" w:customStyle="1" w:styleId="ToolBody">
    <w:name w:val="Tool Body"/>
    <w:pPr>
      <w:widowControl/>
      <w:spacing w:after="100" w:line="252" w:lineRule="auto"/>
    </w:pPr>
    <w:rPr>
      <w:rFonts w:ascii="Liberation Serif" w:hAnsi="Liberation Serif"/>
      <w:color w:val="000000"/>
      <w:sz w:val="21"/>
    </w:rPr>
  </w:style>
  <w:style w:type="paragraph" w:customStyle="1" w:styleId="ToolHeading">
    <w:name w:val="Tool Heading"/>
    <w:pPr>
      <w:keepNext/>
      <w:widowControl/>
      <w:spacing w:after="100" w:line="252" w:lineRule="auto" w:before="140"/>
    </w:pPr>
    <w:rPr>
      <w:rFonts w:ascii="Liberation Sans" w:hAnsi="Liberation Sans"/>
      <w:b/>
      <w:color w:val="000000"/>
      <w:sz w:val="21"/>
    </w:rPr>
  </w:style>
  <w:style w:type="paragraph" w:customStyle="1" w:styleId="ToolField">
    <w:name w:val="Tool Field"/>
    <w:pPr>
      <w:widowControl/>
      <w:spacing w:after="180" w:line="252" w:lineRule="auto"/>
    </w:pPr>
    <w:rPr>
      <w:rFonts w:ascii="Liberation Serif" w:hAnsi="Liberation Serif"/>
      <w:color w:val="000000"/>
      <w:sz w:val="21"/>
    </w:rPr>
  </w:style>
  <w:style w:type="paragraph" w:customStyle="1" w:styleId="ToolTable">
    <w:name w:val="Tool Table"/>
    <w:pPr>
      <w:widowControl/>
      <w:spacing w:after="40" w:line="252" w:lineRule="auto" w:before="40"/>
    </w:pPr>
    <w:rPr>
      <w:rFonts w:ascii="Liberation Sans" w:hAnsi="Liberation Sans"/>
      <w:color w:val="000000"/>
      <w:sz w:val="19"/>
    </w:rPr>
  </w:style>
  <w:style w:type="paragraph" w:customStyle="1" w:styleId="ToolReference">
    <w:name w:val="Tool Reference"/>
    <w:pPr>
      <w:widowControl/>
      <w:spacing w:after="100" w:line="252" w:lineRule="auto"/>
    </w:pPr>
    <w:rPr>
      <w:rFonts w:ascii="Liberation Sans" w:hAnsi="Liberation Sans"/>
      <w:color w:val="000000"/>
      <w:sz w:val="18"/>
    </w:rPr>
  </w:style>
  <w:style w:type="paragraph" w:customStyle="1" w:styleId="GlossaryEntry">
    <w:name w:val="Glossary Entry"/>
    <w:pPr>
      <w:widowControl/>
      <w:spacing w:after="100" w:line="252" w:lineRule="auto"/>
    </w:pPr>
    <w:rPr>
      <w:rFonts w:ascii="Liberation Serif" w:hAnsi="Liberation Serif"/>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Buyer Tools for Buy the Practice Not the Problems</dc:title>
  <dc:subject/>
  <dc:creator>Ryan Smith DDS</dc:creator>
  <cp:keywords/>
  <dc:description>generated by python-docx</dc:description>
  <cp:lastModifiedBy/>
  <cp:revision>1</cp:revision>
  <dcterms:created xsi:type="dcterms:W3CDTF">2013-12-23T23:15:00Z</dcterms:created>
  <dcterms:modified xsi:type="dcterms:W3CDTF">2013-12-23T23:15:00Z</dcterms:modified>
  <cp:category/>
</cp:coreProperties>
</file>